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40B44" w14:textId="26022BFF" w:rsidR="00CE1E5A" w:rsidRPr="005959D5" w:rsidRDefault="00CE1E5A" w:rsidP="00CE1E5A">
      <w:pPr>
        <w:widowControl w:val="0"/>
        <w:tabs>
          <w:tab w:val="left" w:pos="2410"/>
          <w:tab w:val="left" w:pos="7655"/>
          <w:tab w:val="right" w:pos="9639"/>
        </w:tabs>
        <w:overflowPunct w:val="0"/>
        <w:autoSpaceDE w:val="0"/>
        <w:autoSpaceDN w:val="0"/>
        <w:adjustRightInd w:val="0"/>
        <w:spacing w:after="0"/>
        <w:textAlignment w:val="baseline"/>
        <w:rPr>
          <w:rFonts w:ascii="Arial" w:eastAsia="SimSun" w:hAnsi="Arial"/>
          <w:b/>
          <w:bCs/>
          <w:sz w:val="24"/>
          <w:szCs w:val="24"/>
          <w:lang w:eastAsia="ja-JP"/>
        </w:rPr>
      </w:pPr>
      <w:r w:rsidRPr="005959D5">
        <w:rPr>
          <w:rFonts w:ascii="Arial" w:eastAsia="SimSun" w:hAnsi="Arial"/>
          <w:b/>
          <w:bCs/>
          <w:sz w:val="24"/>
          <w:szCs w:val="24"/>
          <w:lang w:eastAsia="ja-JP"/>
        </w:rPr>
        <w:t>3GPP TSG RAN4 Meeting #116bis</w:t>
      </w:r>
      <w:r w:rsidRPr="005959D5">
        <w:rPr>
          <w:rFonts w:ascii="Arial" w:eastAsia="SimSun" w:hAnsi="Arial"/>
          <w:b/>
          <w:bCs/>
          <w:sz w:val="24"/>
          <w:szCs w:val="24"/>
          <w:lang w:eastAsia="ja-JP"/>
        </w:rPr>
        <w:tab/>
      </w:r>
      <w:r w:rsidRPr="005959D5">
        <w:rPr>
          <w:rFonts w:ascii="Arial" w:eastAsia="SimSun" w:hAnsi="Arial"/>
          <w:b/>
          <w:bCs/>
          <w:sz w:val="24"/>
          <w:szCs w:val="24"/>
          <w:lang w:eastAsia="ja-JP"/>
        </w:rPr>
        <w:tab/>
      </w:r>
      <w:r w:rsidR="003A369E" w:rsidRPr="003A369E">
        <w:rPr>
          <w:rFonts w:ascii="Arial" w:eastAsia="SimSun" w:hAnsi="Arial"/>
          <w:b/>
          <w:bCs/>
          <w:sz w:val="24"/>
          <w:szCs w:val="24"/>
          <w:lang w:eastAsia="ja-JP"/>
        </w:rPr>
        <w:t>R4-2514345</w:t>
      </w:r>
      <w:r w:rsidRPr="005959D5">
        <w:rPr>
          <w:rFonts w:ascii="Arial" w:eastAsia="SimSun" w:hAnsi="Arial"/>
          <w:b/>
          <w:bCs/>
          <w:sz w:val="24"/>
          <w:szCs w:val="24"/>
          <w:lang w:eastAsia="ja-JP"/>
        </w:rPr>
        <w:br/>
      </w:r>
      <w:r w:rsidRPr="005959D5">
        <w:rPr>
          <w:rFonts w:ascii="Arial" w:eastAsia="Batang" w:hAnsi="Arial" w:cs="Arial"/>
          <w:b/>
          <w:color w:val="000000"/>
          <w:sz w:val="24"/>
          <w:szCs w:val="24"/>
          <w:lang w:eastAsia="ja-JP"/>
        </w:rPr>
        <w:t>Prague, Czech Republic, 13</w:t>
      </w:r>
      <w:r w:rsidRPr="005959D5">
        <w:rPr>
          <w:rFonts w:ascii="Arial" w:eastAsia="Batang" w:hAnsi="Arial" w:cs="Arial"/>
          <w:b/>
          <w:color w:val="000000"/>
          <w:sz w:val="24"/>
          <w:szCs w:val="24"/>
          <w:vertAlign w:val="superscript"/>
          <w:lang w:eastAsia="ja-JP"/>
        </w:rPr>
        <w:t>th</w:t>
      </w:r>
      <w:r w:rsidRPr="005959D5">
        <w:rPr>
          <w:rFonts w:ascii="Arial" w:eastAsia="Batang" w:hAnsi="Arial" w:cs="Arial"/>
          <w:b/>
          <w:color w:val="000000"/>
          <w:sz w:val="24"/>
          <w:szCs w:val="24"/>
          <w:lang w:eastAsia="ja-JP"/>
        </w:rPr>
        <w:t xml:space="preserve"> – 18</w:t>
      </w:r>
      <w:r w:rsidRPr="005959D5">
        <w:rPr>
          <w:rFonts w:ascii="Arial" w:eastAsia="Batang" w:hAnsi="Arial" w:cs="Arial"/>
          <w:b/>
          <w:color w:val="000000"/>
          <w:sz w:val="24"/>
          <w:szCs w:val="24"/>
          <w:vertAlign w:val="superscript"/>
          <w:lang w:eastAsia="ja-JP"/>
        </w:rPr>
        <w:t>th</w:t>
      </w:r>
      <w:r w:rsidRPr="005959D5">
        <w:rPr>
          <w:rFonts w:ascii="Arial" w:eastAsia="Batang" w:hAnsi="Arial" w:cs="Arial"/>
          <w:b/>
          <w:color w:val="000000"/>
          <w:sz w:val="24"/>
          <w:szCs w:val="24"/>
          <w:lang w:eastAsia="ja-JP"/>
        </w:rPr>
        <w:t xml:space="preserve"> October, 2025</w:t>
      </w:r>
    </w:p>
    <w:p w14:paraId="00D8C243"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6A12DEE" w14:textId="77777777" w:rsidR="00841BCD" w:rsidRPr="000A08FD" w:rsidRDefault="00841BCD" w:rsidP="00841BCD">
      <w:pPr>
        <w:tabs>
          <w:tab w:val="left" w:pos="1985"/>
        </w:tabs>
        <w:ind w:left="1985" w:hanging="1985"/>
        <w:rPr>
          <w:rFonts w:ascii="Arial" w:eastAsia="Calibri" w:hAnsi="Arial" w:cs="Arial"/>
          <w:b/>
          <w:bCs/>
          <w:sz w:val="24"/>
          <w:lang w:val="en-US"/>
        </w:rPr>
      </w:pPr>
      <w:r w:rsidRPr="008F786B">
        <w:rPr>
          <w:rFonts w:ascii="Arial" w:eastAsia="Calibri" w:hAnsi="Arial" w:cs="Arial"/>
          <w:b/>
          <w:bCs/>
          <w:sz w:val="24"/>
        </w:rPr>
        <w:t>Source:</w:t>
      </w:r>
      <w:r w:rsidRPr="008F786B">
        <w:rPr>
          <w:rFonts w:ascii="Arial" w:eastAsia="Calibri" w:hAnsi="Arial" w:cs="Arial"/>
          <w:b/>
          <w:bCs/>
          <w:sz w:val="24"/>
        </w:rPr>
        <w:tab/>
        <w:t>Nokia</w:t>
      </w:r>
    </w:p>
    <w:p w14:paraId="406BAFAC" w14:textId="26AFB76E" w:rsidR="00841BCD" w:rsidRPr="004D2311" w:rsidRDefault="00841BCD" w:rsidP="00841BCD">
      <w:pPr>
        <w:ind w:left="1985" w:hanging="1985"/>
        <w:rPr>
          <w:rFonts w:ascii="Arial" w:eastAsia="Calibri" w:hAnsi="Arial" w:cs="Arial"/>
          <w:b/>
          <w:bCs/>
          <w:sz w:val="24"/>
          <w:lang w:val="en-US"/>
        </w:rPr>
      </w:pPr>
      <w:r w:rsidRPr="004D2311">
        <w:rPr>
          <w:rFonts w:ascii="Arial" w:eastAsia="Calibri" w:hAnsi="Arial" w:cs="Arial"/>
          <w:b/>
          <w:bCs/>
          <w:sz w:val="24"/>
          <w:lang w:val="en-US"/>
        </w:rPr>
        <w:t>Title:</w:t>
      </w:r>
      <w:r w:rsidRPr="004D2311">
        <w:rPr>
          <w:rFonts w:ascii="Arial" w:eastAsia="Calibri" w:hAnsi="Arial" w:cs="Arial"/>
          <w:b/>
          <w:bCs/>
          <w:sz w:val="24"/>
          <w:lang w:val="en-US"/>
        </w:rPr>
        <w:tab/>
      </w:r>
      <w:r w:rsidR="00A10BE8">
        <w:rPr>
          <w:rFonts w:ascii="Arial" w:eastAsia="Calibri" w:hAnsi="Arial" w:cs="Arial"/>
          <w:b/>
          <w:bCs/>
          <w:sz w:val="24"/>
          <w:lang w:val="en-US"/>
        </w:rPr>
        <w:t>Issues on pre-compensation gap in TS 36.102</w:t>
      </w:r>
    </w:p>
    <w:p w14:paraId="7E3F1EE7" w14:textId="0D4F27EB" w:rsidR="00841BCD" w:rsidRPr="00A10BE8" w:rsidRDefault="00841BCD" w:rsidP="00841BCD">
      <w:pPr>
        <w:tabs>
          <w:tab w:val="left" w:pos="1985"/>
        </w:tabs>
        <w:spacing w:after="120" w:line="240" w:lineRule="auto"/>
        <w:rPr>
          <w:rFonts w:ascii="Arial" w:eastAsia="MS Mincho" w:hAnsi="Arial" w:cs="Arial"/>
          <w:b/>
          <w:bCs/>
          <w:sz w:val="24"/>
          <w:szCs w:val="20"/>
          <w:lang w:val="en-US"/>
        </w:rPr>
      </w:pPr>
      <w:r w:rsidRPr="00A10BE8">
        <w:rPr>
          <w:rFonts w:ascii="Arial" w:eastAsia="MS Mincho" w:hAnsi="Arial" w:cs="Arial"/>
          <w:b/>
          <w:bCs/>
          <w:sz w:val="24"/>
          <w:szCs w:val="20"/>
          <w:lang w:val="en-US"/>
        </w:rPr>
        <w:t>Agenda item:</w:t>
      </w:r>
      <w:r w:rsidRPr="00A10BE8">
        <w:rPr>
          <w:rFonts w:ascii="Arial" w:eastAsia="MS Mincho" w:hAnsi="Arial" w:cs="Arial"/>
          <w:b/>
          <w:bCs/>
          <w:sz w:val="24"/>
          <w:szCs w:val="20"/>
          <w:lang w:val="en-US"/>
        </w:rPr>
        <w:tab/>
      </w:r>
      <w:r w:rsidR="00F3627A">
        <w:rPr>
          <w:rFonts w:ascii="Arial" w:eastAsia="MS Mincho" w:hAnsi="Arial" w:cs="Arial"/>
          <w:b/>
          <w:bCs/>
          <w:sz w:val="24"/>
          <w:szCs w:val="20"/>
          <w:lang w:val="en-US"/>
        </w:rPr>
        <w:t>4.27.3</w:t>
      </w:r>
    </w:p>
    <w:p w14:paraId="56917C1A"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2652D8C6" w14:textId="77777777" w:rsidR="00841BCD" w:rsidRPr="008F786B" w:rsidRDefault="00841BCD" w:rsidP="00A37002">
      <w:pPr>
        <w:pStyle w:val="RAN4H1"/>
      </w:pPr>
      <w:bookmarkStart w:id="0" w:name="_Toc116995841"/>
      <w:r w:rsidRPr="008F786B">
        <w:t>Intro</w:t>
      </w:r>
      <w:r w:rsidRPr="008F786B">
        <w:rPr>
          <w:rStyle w:val="RAN4H1Char"/>
        </w:rPr>
        <w:t>ductio</w:t>
      </w:r>
      <w:r w:rsidRPr="008F786B">
        <w:t>n</w:t>
      </w:r>
      <w:bookmarkEnd w:id="0"/>
    </w:p>
    <w:p w14:paraId="3F74E371" w14:textId="77777777" w:rsidR="007A7E68" w:rsidRDefault="007A7E68" w:rsidP="007A7E68">
      <w:r>
        <w:t xml:space="preserve">In the plenary meeting RAN #105, a new WI for Rel-19 was approved to introduce a TDD frame operation for NTN [1]. The work item is designed to provide extended support of 3GPP NB-IoT features leveraging existing satellite systems deployed in Non-Geostationary Satellite Orbit (NGSO). It also aims at enabling low-complexity payloads for satellite operations that are non-reliant on a diplexer. </w:t>
      </w:r>
    </w:p>
    <w:p w14:paraId="02464870" w14:textId="40F9880C" w:rsidR="007A7E68" w:rsidRPr="00544D73" w:rsidRDefault="007A7E68" w:rsidP="007A7E68">
      <w:pPr>
        <w:rPr>
          <w:lang w:val="en-US"/>
        </w:rPr>
      </w:pPr>
      <w:r>
        <w:t xml:space="preserve">To achieve the aforementioned goals, the WID was designed to introduce an NTN-compatible TDD frame, that while based on minimum necessary changes on the NB-IoT NTN FDD specification provides a new approach to TDD periodicity.  </w:t>
      </w:r>
      <w:r w:rsidR="00544D73">
        <w:t xml:space="preserve">The issue of segmentation gap was discussed based on RAN1 inquiry to RAN4 and a response was provided on previous meeting </w:t>
      </w:r>
      <w:r w:rsidR="00544D73">
        <w:fldChar w:fldCharType="begin"/>
      </w:r>
      <w:r w:rsidR="00544D73">
        <w:instrText xml:space="preserve"> REF _Ref210322611 \r \h </w:instrText>
      </w:r>
      <w:r w:rsidR="00544D73">
        <w:fldChar w:fldCharType="separate"/>
      </w:r>
      <w:r w:rsidR="00544D73">
        <w:t>[2]</w:t>
      </w:r>
      <w:r w:rsidR="00544D73">
        <w:fldChar w:fldCharType="end"/>
      </w:r>
      <w:r w:rsidR="00544D73">
        <w:t>. In the RAN4 response, which contains RAN4 agreements some issues were identified after the meeting and that requires re</w:t>
      </w:r>
      <w:r w:rsidR="00544D73" w:rsidRPr="00544D73">
        <w:rPr>
          <w:lang w:val="en-US"/>
        </w:rPr>
        <w:t>-</w:t>
      </w:r>
      <w:r w:rsidR="00544D73">
        <w:rPr>
          <w:lang w:val="en-US"/>
        </w:rPr>
        <w:t xml:space="preserve">evaluation of such agreements. In this document we discuss these issues. </w:t>
      </w:r>
    </w:p>
    <w:p w14:paraId="27FBF78E" w14:textId="77777777" w:rsidR="00B66B7D" w:rsidRDefault="003B659E" w:rsidP="00B66B7D">
      <w:pPr>
        <w:pStyle w:val="RAN4H1"/>
      </w:pPr>
      <w:bookmarkStart w:id="1" w:name="_Toc116995842"/>
      <w:r w:rsidRPr="008F786B">
        <w:t>Discussion</w:t>
      </w:r>
      <w:bookmarkEnd w:id="1"/>
    </w:p>
    <w:p w14:paraId="68353CC4" w14:textId="599E8B04" w:rsidR="00544D73" w:rsidRDefault="00544D73" w:rsidP="00915E96">
      <w:r>
        <w:t>In the contents of the previous sent LS reply to RAN1, RAN4 has provided the following answer (highlights are our own and used here to facilitate the discussion):</w:t>
      </w:r>
    </w:p>
    <w:tbl>
      <w:tblPr>
        <w:tblStyle w:val="TableGrid"/>
        <w:tblW w:w="0" w:type="auto"/>
        <w:tblLook w:val="04A0" w:firstRow="1" w:lastRow="0" w:firstColumn="1" w:lastColumn="0" w:noHBand="0" w:noVBand="1"/>
      </w:tblPr>
      <w:tblGrid>
        <w:gridCol w:w="9617"/>
      </w:tblGrid>
      <w:tr w:rsidR="00544D73" w14:paraId="6421E205" w14:textId="77777777" w:rsidTr="00544D73">
        <w:tc>
          <w:tcPr>
            <w:tcW w:w="9617" w:type="dxa"/>
          </w:tcPr>
          <w:p w14:paraId="1E002598" w14:textId="77777777" w:rsidR="00544D73" w:rsidRPr="00403290" w:rsidRDefault="00544D73" w:rsidP="00544D73">
            <w:pPr>
              <w:spacing w:after="120"/>
              <w:rPr>
                <w:rStyle w:val="Hyperlink"/>
                <w:color w:val="000000" w:themeColor="text1"/>
                <w:szCs w:val="24"/>
                <w:lang w:eastAsia="zh-CN"/>
              </w:rPr>
            </w:pPr>
            <w:r>
              <w:rPr>
                <w:rStyle w:val="Hyperlink"/>
                <w:color w:val="000000" w:themeColor="text1"/>
                <w:szCs w:val="24"/>
                <w:lang w:eastAsia="zh-CN"/>
              </w:rPr>
              <w:t>At the RAN4#116</w:t>
            </w:r>
            <w:r w:rsidRPr="00403290">
              <w:rPr>
                <w:rStyle w:val="Hyperlink"/>
                <w:color w:val="000000" w:themeColor="text1"/>
                <w:szCs w:val="24"/>
                <w:lang w:eastAsia="zh-CN"/>
              </w:rPr>
              <w:t xml:space="preserve"> meeting, RAN4 reached the following agreement: </w:t>
            </w:r>
          </w:p>
          <w:p w14:paraId="06AF0446" w14:textId="77777777" w:rsidR="00544D73" w:rsidRPr="00544D73" w:rsidRDefault="00544D73" w:rsidP="00544D73">
            <w:pPr>
              <w:pStyle w:val="ListParagraph"/>
              <w:numPr>
                <w:ilvl w:val="0"/>
                <w:numId w:val="41"/>
              </w:numPr>
              <w:overflowPunct w:val="0"/>
              <w:autoSpaceDE w:val="0"/>
              <w:autoSpaceDN w:val="0"/>
              <w:adjustRightInd w:val="0"/>
              <w:spacing w:after="120"/>
              <w:contextualSpacing w:val="0"/>
              <w:jc w:val="both"/>
              <w:textAlignment w:val="baseline"/>
              <w:rPr>
                <w:highlight w:val="green"/>
                <w:u w:val="single"/>
              </w:rPr>
            </w:pPr>
            <w:r w:rsidRPr="00544D73">
              <w:rPr>
                <w:highlight w:val="green"/>
                <w:u w:val="single"/>
              </w:rPr>
              <w:t>For frequency error requirement (TS 36.102):</w:t>
            </w:r>
          </w:p>
          <w:p w14:paraId="0343B2EC" w14:textId="77777777" w:rsidR="00544D73" w:rsidRPr="007D5A4D" w:rsidRDefault="00544D73" w:rsidP="00544D73">
            <w:pPr>
              <w:spacing w:after="120"/>
              <w:jc w:val="both"/>
            </w:pPr>
            <w:r w:rsidRPr="007D5A4D">
              <w:t>“</w:t>
            </w:r>
            <w:r w:rsidRPr="00564F77">
              <w:t xml:space="preserve">When a repetition period is configured on the uplink for which repetition period (R) &gt;1, the UE shall not change Doppler pre-compensation during an ongoing repetition period, except in the transmission gaps as defined in clause 10.1.3.6 of TS 36.211[3] or except for band 249 in which UE is allowed to perform pre-compensation </w:t>
            </w:r>
            <w:r w:rsidRPr="007D5A4D">
              <w:t>at the beginning</w:t>
            </w:r>
            <w:r w:rsidRPr="00564F77">
              <w:t xml:space="preserve"> of the uplink burst of 8 consecutive transmitted subframes</w:t>
            </w:r>
            <w:r w:rsidRPr="000E7FD7">
              <w:t xml:space="preserve">, </w:t>
            </w:r>
            <w:r w:rsidRPr="00544D73">
              <w:rPr>
                <w:highlight w:val="green"/>
              </w:rPr>
              <w:t>pre-compensation gap is not applicable for band 249</w:t>
            </w:r>
            <w:r w:rsidRPr="00564F77">
              <w:t>. When segmentation is applied, then the UE shall update pre-compensation at the beginning of each segment prior to segment transmission.</w:t>
            </w:r>
            <w:r w:rsidRPr="007D5A4D">
              <w:t>”</w:t>
            </w:r>
          </w:p>
          <w:p w14:paraId="41E8F914" w14:textId="77777777" w:rsidR="00544D73" w:rsidRDefault="00544D73" w:rsidP="00915E96"/>
          <w:p w14:paraId="5128AAE1" w14:textId="77777777" w:rsidR="00544D73" w:rsidRDefault="00544D73" w:rsidP="00915E96">
            <w:r>
              <w:t>(…)</w:t>
            </w:r>
          </w:p>
          <w:p w14:paraId="203061D1" w14:textId="77777777" w:rsidR="00544D73" w:rsidRPr="00607C42" w:rsidRDefault="00544D73" w:rsidP="00544D73">
            <w:pPr>
              <w:spacing w:after="120"/>
              <w:jc w:val="both"/>
              <w:rPr>
                <w:color w:val="0070C0"/>
                <w:szCs w:val="24"/>
                <w:lang w:eastAsia="zh-CN"/>
              </w:rPr>
            </w:pPr>
            <w:r w:rsidRPr="005B699C">
              <w:rPr>
                <w:rStyle w:val="Hyperlink"/>
                <w:color w:val="000000" w:themeColor="text1"/>
                <w:szCs w:val="24"/>
                <w:lang w:eastAsia="zh-CN"/>
              </w:rPr>
              <w:t>As a general</w:t>
            </w:r>
            <w:r w:rsidRPr="002667D0">
              <w:rPr>
                <w:rStyle w:val="Hyperlink"/>
                <w:color w:val="000000" w:themeColor="text1"/>
                <w:szCs w:val="24"/>
                <w:lang w:eastAsia="zh-CN"/>
              </w:rPr>
              <w:t xml:space="preserve"> assumption for both </w:t>
            </w:r>
            <w:r w:rsidRPr="00544D73">
              <w:rPr>
                <w:rStyle w:val="Hyperlink"/>
                <w:color w:val="000000" w:themeColor="text1"/>
                <w:szCs w:val="24"/>
                <w:highlight w:val="green"/>
                <w:lang w:eastAsia="zh-CN"/>
              </w:rPr>
              <w:t>frequency error</w:t>
            </w:r>
            <w:r w:rsidRPr="002667D0">
              <w:rPr>
                <w:rStyle w:val="Hyperlink"/>
                <w:color w:val="000000" w:themeColor="text1"/>
                <w:szCs w:val="24"/>
                <w:lang w:eastAsia="zh-CN"/>
              </w:rPr>
              <w:t xml:space="preserve"> </w:t>
            </w:r>
            <w:r w:rsidRPr="00544D73">
              <w:rPr>
                <w:rStyle w:val="Hyperlink"/>
                <w:color w:val="000000" w:themeColor="text1"/>
                <w:szCs w:val="24"/>
                <w:highlight w:val="yellow"/>
                <w:lang w:eastAsia="zh-CN"/>
              </w:rPr>
              <w:t>and timing error</w:t>
            </w:r>
            <w:r w:rsidRPr="00564F77">
              <w:rPr>
                <w:rStyle w:val="Hyperlink"/>
                <w:color w:val="000000" w:themeColor="text1"/>
                <w:szCs w:val="24"/>
                <w:lang w:eastAsia="zh-CN"/>
              </w:rPr>
              <w:t xml:space="preserve">, </w:t>
            </w:r>
            <w:r w:rsidRPr="00544D73">
              <w:rPr>
                <w:rFonts w:ascii="Times" w:eastAsia="Batang" w:hAnsi="Times"/>
                <w:bCs/>
                <w:color w:val="000000" w:themeColor="text1"/>
                <w:szCs w:val="24"/>
                <w:highlight w:val="yellow"/>
                <w:lang w:eastAsia="x-none"/>
              </w:rPr>
              <w:t xml:space="preserve">no pre-compensation gap is needed before the beginning of each </w:t>
            </w:r>
            <w:r w:rsidRPr="00544D73">
              <w:rPr>
                <w:color w:val="000000" w:themeColor="text1"/>
                <w:highlight w:val="yellow"/>
              </w:rPr>
              <w:t>uplink burst of 8 consecutive transmitted subframes.</w:t>
            </w:r>
            <w:r w:rsidRPr="0044317D">
              <w:rPr>
                <w:color w:val="000000" w:themeColor="text1"/>
              </w:rPr>
              <w:t xml:space="preserve"> However, when segmentation is applied (i.e. network configures the segmentation), </w:t>
            </w:r>
            <w:r w:rsidRPr="00544D73">
              <w:rPr>
                <w:color w:val="000000" w:themeColor="text1"/>
                <w:highlight w:val="yellow"/>
              </w:rPr>
              <w:t xml:space="preserve">UE pre-compensation gap may or may </w:t>
            </w:r>
            <w:r w:rsidRPr="00544D73">
              <w:rPr>
                <w:highlight w:val="yellow"/>
              </w:rPr>
              <w:t>not be used for timing adjustment between 2 consecutive segments.</w:t>
            </w:r>
            <w:r>
              <w:t xml:space="preserve"> Pre-compensation gap is not needed for the first segment. Therefore, RAN4 estimates that the use of pre-compensation gaps on the UE side may be allowed but is optional depending on the UE implementation. </w:t>
            </w:r>
            <w:r w:rsidRPr="00544D73">
              <w:rPr>
                <w:highlight w:val="yellow"/>
              </w:rPr>
              <w:t>RAN4 also considers that segmentation can be applied during the transmission of an uplink burst of 8 consecutive transmitted subframes.</w:t>
            </w:r>
          </w:p>
          <w:p w14:paraId="522B59D3" w14:textId="07AEBED1" w:rsidR="00544D73" w:rsidRDefault="00544D73" w:rsidP="00915E96"/>
        </w:tc>
      </w:tr>
    </w:tbl>
    <w:p w14:paraId="75A0E635" w14:textId="77777777" w:rsidR="00544D73" w:rsidRDefault="00544D73" w:rsidP="00915E96"/>
    <w:p w14:paraId="254BB325" w14:textId="11B70380" w:rsidR="00544D73" w:rsidRDefault="00544D73" w:rsidP="00915E96">
      <w:r>
        <w:t>Let’s evaluate the contents above and explain the issues with such agreements (the parts highlighted in green refer to frequency requirements whereas the parts highlighted in yellow in the box above refer to timing requirements:</w:t>
      </w:r>
    </w:p>
    <w:p w14:paraId="365CAC53" w14:textId="40539D4B" w:rsidR="00544D73" w:rsidRDefault="00544D73" w:rsidP="00544D73">
      <w:pPr>
        <w:pStyle w:val="ListParagraph"/>
        <w:numPr>
          <w:ilvl w:val="0"/>
          <w:numId w:val="42"/>
        </w:numPr>
      </w:pPr>
      <w:r w:rsidRPr="00544D73">
        <w:rPr>
          <w:highlight w:val="green"/>
        </w:rPr>
        <w:t>“For frequency error requirement (…) pre-compensation gap is not applicable for band 249”:</w:t>
      </w:r>
      <w:r>
        <w:t xml:space="preserve"> From frequency point of view, this agreement is inconsequential as the potentially small interval to be introduced by an eventual pre-compensation gap would not be sufficient to harm significantly the phase continuity of the </w:t>
      </w:r>
      <w:r>
        <w:lastRenderedPageBreak/>
        <w:t xml:space="preserve">transmission. Moreover, it indicates that the frequency error variation within 8 ms does not seem a significant concern to RAN4. </w:t>
      </w:r>
      <w:r w:rsidR="002F0DEF">
        <w:t xml:space="preserve"> However, by saying that pre-compensation gap is not applicable for this band has undesired consequences: it precludes it to be used for timing adjustments. </w:t>
      </w:r>
    </w:p>
    <w:p w14:paraId="4AD585BA" w14:textId="6A2214FF" w:rsidR="00544D73" w:rsidRDefault="00544D73" w:rsidP="00544D73">
      <w:pPr>
        <w:pStyle w:val="RAN4observation0"/>
      </w:pPr>
      <w:bookmarkStart w:id="2" w:name="_Toc210412054"/>
      <w:r>
        <w:t>The absence (or introduction) of the pre-compensation gap is inconsequential for the frequency error requirements in RAN4.</w:t>
      </w:r>
      <w:bookmarkEnd w:id="2"/>
      <w:r>
        <w:t xml:space="preserve"> </w:t>
      </w:r>
    </w:p>
    <w:p w14:paraId="661A3A0A" w14:textId="455152B1" w:rsidR="002F0DEF" w:rsidRPr="002F0DEF" w:rsidRDefault="002F0DEF" w:rsidP="002F0DEF">
      <w:pPr>
        <w:pStyle w:val="RAN4observation0"/>
      </w:pPr>
      <w:bookmarkStart w:id="3" w:name="_Toc210412055"/>
      <w:r>
        <w:t xml:space="preserve">By </w:t>
      </w:r>
      <w:r w:rsidR="0072115F">
        <w:t>stating</w:t>
      </w:r>
      <w:r>
        <w:t xml:space="preserve"> that the pre-compensation gap is not applicable in band 249, we are preventing it to be used for timing adjustments.</w:t>
      </w:r>
      <w:bookmarkEnd w:id="3"/>
      <w:r>
        <w:t xml:space="preserve"> </w:t>
      </w:r>
    </w:p>
    <w:p w14:paraId="06C4B22C" w14:textId="59D1B89C" w:rsidR="00544D73" w:rsidRDefault="00544D73" w:rsidP="00544D73">
      <w:r>
        <w:t>However, things are considerably different when timing requirements are considered. Let’s breakdown our message to RAN1 to indicate what are our concerns with the current phrasing in the LS:</w:t>
      </w:r>
    </w:p>
    <w:p w14:paraId="7B4CF2EA" w14:textId="3E21948D" w:rsidR="00544D73" w:rsidRDefault="00544D73" w:rsidP="00544D73">
      <w:pPr>
        <w:pStyle w:val="ListParagraph"/>
        <w:numPr>
          <w:ilvl w:val="0"/>
          <w:numId w:val="42"/>
        </w:numPr>
      </w:pPr>
      <w:r>
        <w:t>“</w:t>
      </w:r>
      <w:r w:rsidRPr="00544D73">
        <w:rPr>
          <w:highlight w:val="yellow"/>
        </w:rPr>
        <w:t>RAN4 also considers that segmentation can be applied during the transmission of an uplink burst of 8 consecutive transmitted subframes.</w:t>
      </w:r>
      <w:r>
        <w:t xml:space="preserve">” : This indicates that RAN4 agrees that segmentation can be configured and are applicable within bursts of 8 ms. </w:t>
      </w:r>
    </w:p>
    <w:p w14:paraId="0141CF5E" w14:textId="79DA478D" w:rsidR="00544D73" w:rsidRPr="00544D73" w:rsidRDefault="00544D73" w:rsidP="00544D73">
      <w:pPr>
        <w:pStyle w:val="ListParagraph"/>
        <w:numPr>
          <w:ilvl w:val="0"/>
          <w:numId w:val="42"/>
        </w:numPr>
      </w:pPr>
      <w:r w:rsidRPr="00544D73">
        <w:rPr>
          <w:rFonts w:ascii="Times" w:eastAsia="Batang" w:hAnsi="Times"/>
          <w:bCs/>
          <w:color w:val="000000" w:themeColor="text1"/>
          <w:szCs w:val="24"/>
          <w:highlight w:val="yellow"/>
          <w:lang w:eastAsia="x-none"/>
        </w:rPr>
        <w:t xml:space="preserve">no pre-compensation gap is needed before </w:t>
      </w:r>
      <w:r w:rsidRPr="00544D73">
        <w:rPr>
          <w:rFonts w:ascii="Times" w:eastAsia="Batang" w:hAnsi="Times"/>
          <w:b/>
          <w:color w:val="000000" w:themeColor="text1"/>
          <w:szCs w:val="24"/>
          <w:highlight w:val="yellow"/>
          <w:u w:val="single"/>
          <w:lang w:eastAsia="x-none"/>
        </w:rPr>
        <w:t>the beginning</w:t>
      </w:r>
      <w:r w:rsidRPr="00544D73">
        <w:rPr>
          <w:rFonts w:ascii="Times" w:eastAsia="Batang" w:hAnsi="Times"/>
          <w:bCs/>
          <w:color w:val="000000" w:themeColor="text1"/>
          <w:szCs w:val="24"/>
          <w:highlight w:val="yellow"/>
          <w:lang w:eastAsia="x-none"/>
        </w:rPr>
        <w:t xml:space="preserve"> of each </w:t>
      </w:r>
      <w:r w:rsidRPr="00544D73">
        <w:rPr>
          <w:color w:val="000000" w:themeColor="text1"/>
          <w:highlight w:val="yellow"/>
        </w:rPr>
        <w:t>uplink burst of 8 consecutive transmitted subframes.</w:t>
      </w:r>
      <w:r>
        <w:rPr>
          <w:color w:val="000000" w:themeColor="text1"/>
        </w:rPr>
        <w:t xml:space="preserve">: We agree with that statement, there is significant preparation time before the burst of 8 consecutive UL subframes such that the UE can adjust its timing without the pre-compensation game at the beginning of a new transmission. </w:t>
      </w:r>
    </w:p>
    <w:p w14:paraId="6C20EA63" w14:textId="3CBDE048" w:rsidR="00544D73" w:rsidRDefault="00544D73" w:rsidP="00544D73">
      <w:pPr>
        <w:pStyle w:val="ListParagraph"/>
        <w:numPr>
          <w:ilvl w:val="0"/>
          <w:numId w:val="42"/>
        </w:numPr>
      </w:pPr>
      <w:r w:rsidRPr="00544D73">
        <w:rPr>
          <w:color w:val="000000" w:themeColor="text1"/>
          <w:highlight w:val="yellow"/>
        </w:rPr>
        <w:t xml:space="preserve">UE pre-compensation gap may or may </w:t>
      </w:r>
      <w:r w:rsidRPr="00544D73">
        <w:rPr>
          <w:highlight w:val="yellow"/>
        </w:rPr>
        <w:t>not be used for timing adjustment between 2 consecutive segments.</w:t>
      </w:r>
      <w:r>
        <w:t xml:space="preserve"> : Here is the part where we have identified a problem that will be discussed in the next paragraphs. </w:t>
      </w:r>
    </w:p>
    <w:p w14:paraId="7547B59B" w14:textId="7CBBF5E2" w:rsidR="00544D73" w:rsidRDefault="00544D73" w:rsidP="00544D73">
      <w:r>
        <w:t xml:space="preserve">First of all, </w:t>
      </w:r>
      <w:r w:rsidR="002F0DEF">
        <w:t xml:space="preserve">the segmentation gap was introduced exactly for this situation to prevent an error. If the UE performs timing adjustments between two consecutive segments, and the timing advance is decreasing (RTT is becoming shorter), the UE is delaying its transmission as smaller timing pre-compensation is needed. In this case there will be a natural timing adjustment gap between two consecutive subframes and there is no need for the segmentation gap. </w:t>
      </w:r>
    </w:p>
    <w:p w14:paraId="67C415C0" w14:textId="5E9E1A7A" w:rsidR="002F0DEF" w:rsidRDefault="002F0DEF" w:rsidP="00544D73">
      <w:r>
        <w:t xml:space="preserve">However, when the timing advance of the UE is increasing, the UE needs to make an earlier transmission of the next segment. This will likely cause the beginning of the second segment to overlap </w:t>
      </w:r>
      <w:r w:rsidR="00E40326">
        <w:t xml:space="preserve">with </w:t>
      </w:r>
      <w:r>
        <w:t xml:space="preserve">the end of the first segment in time. This is physically impossible. To resolve this conflict issue, RAN1 has introduced the segmentation gap. </w:t>
      </w:r>
    </w:p>
    <w:p w14:paraId="2C005E02" w14:textId="77777777" w:rsidR="002F0DEF" w:rsidRDefault="002F0DEF" w:rsidP="002F0DEF">
      <w:pPr>
        <w:pStyle w:val="RAN4observation0"/>
      </w:pPr>
      <w:bookmarkStart w:id="4" w:name="_Toc210412056"/>
      <w:r>
        <w:t>If the timing advance is decreasing between consecutive segments, the segmentation gap is not needed. However, if the timing advance is increasing between two consecutive segments, the segmentation gap is needed.</w:t>
      </w:r>
      <w:bookmarkEnd w:id="4"/>
      <w:r>
        <w:t xml:space="preserve"> </w:t>
      </w:r>
    </w:p>
    <w:p w14:paraId="6BECA315" w14:textId="0F370E81" w:rsidR="002F0DEF" w:rsidRDefault="002F0DEF" w:rsidP="002F0DEF">
      <w:pPr>
        <w:pStyle w:val="RAN4observation0"/>
        <w:numPr>
          <w:ilvl w:val="0"/>
          <w:numId w:val="0"/>
        </w:numPr>
      </w:pPr>
      <w:r>
        <w:t xml:space="preserve"> </w:t>
      </w:r>
    </w:p>
    <w:p w14:paraId="7B242B57" w14:textId="1DF65132" w:rsidR="00544D73" w:rsidRDefault="002F0DEF" w:rsidP="00544D73">
      <w:r>
        <w:t>This issue has been identified and addressed by RAN1 in TS 36.213, clause 16.1.2</w:t>
      </w:r>
    </w:p>
    <w:p w14:paraId="62E40048" w14:textId="6FE52B57" w:rsidR="002F0DEF" w:rsidRDefault="002F0DEF" w:rsidP="00544D73">
      <w:pPr>
        <w:pStyle w:val="ListParagraph"/>
        <w:numPr>
          <w:ilvl w:val="0"/>
          <w:numId w:val="43"/>
        </w:numPr>
      </w:pPr>
      <w:r>
        <w:t>For regular transmissions:</w:t>
      </w:r>
    </w:p>
    <w:tbl>
      <w:tblPr>
        <w:tblStyle w:val="TableGrid"/>
        <w:tblW w:w="0" w:type="auto"/>
        <w:tblLook w:val="04A0" w:firstRow="1" w:lastRow="0" w:firstColumn="1" w:lastColumn="0" w:noHBand="0" w:noVBand="1"/>
      </w:tblPr>
      <w:tblGrid>
        <w:gridCol w:w="9617"/>
      </w:tblGrid>
      <w:tr w:rsidR="002F0DEF" w14:paraId="056E173D" w14:textId="77777777" w:rsidTr="002F0DEF">
        <w:tc>
          <w:tcPr>
            <w:tcW w:w="9617" w:type="dxa"/>
          </w:tcPr>
          <w:p w14:paraId="51214C04" w14:textId="3A8E9DAD" w:rsidR="002F0DEF" w:rsidRDefault="002F0DEF" w:rsidP="00544D73">
            <w:r w:rsidRPr="002F0DEF">
              <w:t xml:space="preserve">When the UE's uplink NPUSCH transmissions in NB-IoT uplink slot n and NB-IoT uplink slot n+1 are overlapped due to the timing adjustment, </w:t>
            </w:r>
            <w:r w:rsidRPr="002F0DEF">
              <w:rPr>
                <w:highlight w:val="yellow"/>
              </w:rPr>
              <w:t>the UE shall complete transmission of NB-IoT uplink slot n and not transmit the overlapped part of NB-IoT uplink slot n+1.</w:t>
            </w:r>
          </w:p>
        </w:tc>
      </w:tr>
    </w:tbl>
    <w:p w14:paraId="4432865E" w14:textId="77777777" w:rsidR="002F0DEF" w:rsidRDefault="002F0DEF" w:rsidP="00544D73"/>
    <w:p w14:paraId="6D2CD26A" w14:textId="0E3148FC" w:rsidR="002F0DEF" w:rsidRDefault="002F0DEF" w:rsidP="002F0DEF">
      <w:pPr>
        <w:pStyle w:val="ListParagraph"/>
        <w:numPr>
          <w:ilvl w:val="0"/>
          <w:numId w:val="43"/>
        </w:numPr>
      </w:pPr>
      <w:r>
        <w:t>For segmented transmissions:</w:t>
      </w:r>
    </w:p>
    <w:tbl>
      <w:tblPr>
        <w:tblStyle w:val="TableGrid"/>
        <w:tblW w:w="0" w:type="auto"/>
        <w:tblLook w:val="04A0" w:firstRow="1" w:lastRow="0" w:firstColumn="1" w:lastColumn="0" w:noHBand="0" w:noVBand="1"/>
      </w:tblPr>
      <w:tblGrid>
        <w:gridCol w:w="9617"/>
      </w:tblGrid>
      <w:tr w:rsidR="002F0DEF" w14:paraId="54A23CD1" w14:textId="77777777" w:rsidTr="002F0DEF">
        <w:tc>
          <w:tcPr>
            <w:tcW w:w="9617" w:type="dxa"/>
          </w:tcPr>
          <w:p w14:paraId="27A08886" w14:textId="54BD3D49" w:rsidR="002F0DEF" w:rsidRDefault="002F0DEF" w:rsidP="002F0DEF">
            <w:r w:rsidRPr="002F0DEF">
              <w:t xml:space="preserve">For a NB-IoT UE communicating over NTN, time and frequency pre-compensation is adjusted per uplink segment with a transmission duration of </w:t>
            </w:r>
            <w:r>
              <w:rPr>
                <w:noProof/>
              </w:rPr>
              <w:drawing>
                <wp:inline distT="0" distB="0" distL="0" distR="0" wp14:anchorId="3EF2A5B6" wp14:editId="7DCC13CD">
                  <wp:extent cx="998220" cy="220980"/>
                  <wp:effectExtent l="0" t="0" r="11430" b="7620"/>
                  <wp:docPr id="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998220" cy="220980"/>
                          </a:xfrm>
                          <a:prstGeom prst="rect">
                            <a:avLst/>
                          </a:prstGeom>
                          <a:noFill/>
                          <a:ln>
                            <a:noFill/>
                          </a:ln>
                        </pic:spPr>
                      </pic:pic>
                    </a:graphicData>
                  </a:graphic>
                </wp:inline>
              </w:drawing>
            </w:r>
            <w:r>
              <w:t xml:space="preserve"> time units (…)</w:t>
            </w:r>
          </w:p>
        </w:tc>
      </w:tr>
    </w:tbl>
    <w:p w14:paraId="3B33C057" w14:textId="054943FB" w:rsidR="002F0DEF" w:rsidRDefault="00F17011" w:rsidP="002F0DEF">
      <w:r>
        <w:t>And further in TS 36.211</w:t>
      </w:r>
      <w:r w:rsidR="00CA2A9A">
        <w:t xml:space="preserve"> section </w:t>
      </w:r>
      <w:r w:rsidR="00CA2A9A" w:rsidRPr="00CA2A9A">
        <w:t>10.1.3</w:t>
      </w:r>
      <w:r w:rsidR="00CA2A9A">
        <w:t>:</w:t>
      </w:r>
    </w:p>
    <w:tbl>
      <w:tblPr>
        <w:tblStyle w:val="TableGrid"/>
        <w:tblW w:w="0" w:type="auto"/>
        <w:tblLook w:val="04A0" w:firstRow="1" w:lastRow="0" w:firstColumn="1" w:lastColumn="0" w:noHBand="0" w:noVBand="1"/>
      </w:tblPr>
      <w:tblGrid>
        <w:gridCol w:w="9617"/>
      </w:tblGrid>
      <w:tr w:rsidR="00F17011" w14:paraId="7DBC2084" w14:textId="77777777" w:rsidTr="00F17011">
        <w:tc>
          <w:tcPr>
            <w:tcW w:w="9617" w:type="dxa"/>
          </w:tcPr>
          <w:p w14:paraId="628E0755" w14:textId="0D0F4761" w:rsidR="00F17011" w:rsidRDefault="00F17011" w:rsidP="002F0DEF">
            <w:r w:rsidRPr="00F17011">
              <w:rPr>
                <w:rFonts w:eastAsia="Times New Roman" w:cs="Times New Roman"/>
                <w:szCs w:val="20"/>
                <w:lang w:eastAsia="ja-JP"/>
              </w:rPr>
              <w:t xml:space="preserve">For a UE communicating over NTN, after transmissions (and/or postponements due to NPRACH) of </w:t>
            </w:r>
            <m:oMath>
              <m:sSubSup>
                <m:sSubSupPr>
                  <m:ctrlPr>
                    <w:rPr>
                      <w:rFonts w:ascii="Cambria Math" w:eastAsia="Times New Roman" w:hAnsi="Cambria Math" w:cs="Times New Roman"/>
                      <w:i/>
                      <w:noProof/>
                      <w:szCs w:val="20"/>
                    </w:rPr>
                  </m:ctrlPr>
                </m:sSubSupPr>
                <m:e>
                  <m:r>
                    <w:rPr>
                      <w:rFonts w:ascii="Cambria Math" w:eastAsia="Times New Roman" w:hAnsi="Cambria Math" w:cs="Times New Roman"/>
                      <w:noProof/>
                      <w:szCs w:val="20"/>
                    </w:rPr>
                    <m:t>N</m:t>
                  </m:r>
                </m:e>
                <m:sub>
                  <m:r>
                    <m:rPr>
                      <m:nor/>
                    </m:rPr>
                    <w:rPr>
                      <w:rFonts w:ascii="Cambria Math" w:eastAsia="Times New Roman" w:hAnsi="Cambria Math" w:cs="Times New Roman"/>
                      <w:noProof/>
                      <w:szCs w:val="20"/>
                    </w:rPr>
                    <m:t>segment</m:t>
                  </m:r>
                </m:sub>
                <m:sup>
                  <m:r>
                    <m:rPr>
                      <m:nor/>
                    </m:rPr>
                    <w:rPr>
                      <w:rFonts w:ascii="Cambria Math" w:eastAsia="Times New Roman" w:hAnsi="Cambria Math" w:cs="Times New Roman"/>
                      <w:noProof/>
                      <w:szCs w:val="20"/>
                    </w:rPr>
                    <m:t>precompensation</m:t>
                  </m:r>
                </m:sup>
              </m:sSubSup>
            </m:oMath>
            <w:r w:rsidRPr="00F17011">
              <w:rPr>
                <w:rFonts w:eastAsia="Times New Roman" w:cs="Times New Roman"/>
                <w:szCs w:val="20"/>
                <w:lang w:eastAsia="ja-JP"/>
              </w:rPr>
              <w:t xml:space="preserve"> time units, for frame structure type 1 </w:t>
            </w:r>
            <w:r w:rsidRPr="00F17011">
              <w:rPr>
                <w:rFonts w:eastAsia="Times New Roman" w:cs="Times New Roman"/>
                <w:szCs w:val="20"/>
              </w:rPr>
              <w:t>for FDD</w:t>
            </w:r>
            <w:r w:rsidRPr="00F17011">
              <w:rPr>
                <w:rFonts w:eastAsia="Times New Roman" w:cs="Times New Roman"/>
                <w:szCs w:val="20"/>
                <w:lang w:eastAsia="ja-JP"/>
              </w:rPr>
              <w:t xml:space="preserve">, a transmission gap of </w:t>
            </w:r>
            <m:oMath>
              <m:sSubSup>
                <m:sSubSupPr>
                  <m:ctrlPr>
                    <w:rPr>
                      <w:rFonts w:ascii="Cambria Math" w:eastAsia="Times New Roman" w:hAnsi="Cambria Math" w:cs="Times New Roman"/>
                      <w:i/>
                      <w:noProof/>
                      <w:szCs w:val="20"/>
                    </w:rPr>
                  </m:ctrlPr>
                </m:sSubSupPr>
                <m:e>
                  <m:r>
                    <w:rPr>
                      <w:rFonts w:ascii="Cambria Math" w:eastAsia="Times New Roman" w:hAnsi="Cambria Math" w:cs="Times New Roman"/>
                      <w:noProof/>
                      <w:szCs w:val="20"/>
                    </w:rPr>
                    <m:t>N</m:t>
                  </m:r>
                </m:e>
                <m:sub>
                  <m:r>
                    <m:rPr>
                      <m:nor/>
                    </m:rPr>
                    <w:rPr>
                      <w:rFonts w:ascii="Cambria Math" w:eastAsia="Times New Roman" w:hAnsi="Cambria Math" w:cs="Times New Roman"/>
                      <w:noProof/>
                      <w:szCs w:val="20"/>
                    </w:rPr>
                    <m:t>gap</m:t>
                  </m:r>
                </m:sub>
                <m:sup>
                  <m:r>
                    <m:rPr>
                      <m:nor/>
                    </m:rPr>
                    <w:rPr>
                      <w:rFonts w:ascii="Cambria Math" w:eastAsia="Times New Roman" w:hAnsi="Cambria Math" w:cs="Times New Roman"/>
                      <w:noProof/>
                      <w:szCs w:val="20"/>
                    </w:rPr>
                    <m:t>precompensation</m:t>
                  </m:r>
                </m:sup>
              </m:sSubSup>
            </m:oMath>
            <w:r w:rsidRPr="00F17011">
              <w:rPr>
                <w:rFonts w:eastAsia="Times New Roman" w:cs="Times New Roman"/>
                <w:szCs w:val="20"/>
                <w:lang w:eastAsia="ja-JP"/>
              </w:rPr>
              <w:t xml:space="preserve"> time units shall be counted for the NPUSCH resource mapping but not used for transmission of the NPUSCH according to the UE capability </w:t>
            </w:r>
            <w:r w:rsidRPr="00F17011">
              <w:rPr>
                <w:rFonts w:eastAsia="Times New Roman" w:cs="Times New Roman"/>
                <w:i/>
                <w:iCs/>
                <w:szCs w:val="20"/>
              </w:rPr>
              <w:t>ntn-SegmentedPrecompensationGaps-r17</w:t>
            </w:r>
            <w:r w:rsidRPr="00F17011">
              <w:rPr>
                <w:rFonts w:eastAsia="Times New Roman" w:cs="Times New Roman"/>
                <w:szCs w:val="20"/>
                <w:lang w:eastAsia="ja-JP"/>
              </w:rPr>
              <w:t xml:space="preserve"> as specified in 3GPP TS 36.331 [9]. The quantity </w:t>
            </w:r>
            <m:oMath>
              <m:sSubSup>
                <m:sSubSupPr>
                  <m:ctrlPr>
                    <w:rPr>
                      <w:rFonts w:ascii="Cambria Math" w:eastAsia="Times New Roman" w:hAnsi="Cambria Math" w:cs="Times New Roman"/>
                      <w:i/>
                      <w:noProof/>
                      <w:szCs w:val="20"/>
                    </w:rPr>
                  </m:ctrlPr>
                </m:sSubSupPr>
                <m:e>
                  <m:r>
                    <w:rPr>
                      <w:rFonts w:ascii="Cambria Math" w:eastAsia="Times New Roman" w:hAnsi="Cambria Math" w:cs="Times New Roman"/>
                      <w:noProof/>
                      <w:szCs w:val="20"/>
                    </w:rPr>
                    <m:t>N</m:t>
                  </m:r>
                </m:e>
                <m:sub>
                  <m:r>
                    <m:rPr>
                      <m:nor/>
                    </m:rPr>
                    <w:rPr>
                      <w:rFonts w:ascii="Cambria Math" w:eastAsia="Times New Roman" w:hAnsi="Cambria Math" w:cs="Times New Roman"/>
                      <w:noProof/>
                      <w:szCs w:val="20"/>
                    </w:rPr>
                    <m:t>segment</m:t>
                  </m:r>
                </m:sub>
                <m:sup>
                  <m:r>
                    <m:rPr>
                      <m:nor/>
                    </m:rPr>
                    <w:rPr>
                      <w:rFonts w:ascii="Cambria Math" w:eastAsia="Times New Roman" w:hAnsi="Cambria Math" w:cs="Times New Roman"/>
                      <w:noProof/>
                      <w:szCs w:val="20"/>
                    </w:rPr>
                    <m:t>precompensation</m:t>
                  </m:r>
                </m:sup>
              </m:sSubSup>
            </m:oMath>
            <w:r w:rsidRPr="00F17011">
              <w:rPr>
                <w:rFonts w:eastAsia="Times New Roman" w:cs="Times New Roman"/>
                <w:szCs w:val="20"/>
                <w:lang w:eastAsia="ja-JP"/>
              </w:rPr>
              <w:t xml:space="preserve"> is provided by higher layers, and the quantity of </w:t>
            </w:r>
            <m:oMath>
              <m:sSubSup>
                <m:sSubSupPr>
                  <m:ctrlPr>
                    <w:rPr>
                      <w:rFonts w:ascii="Cambria Math" w:eastAsia="Times New Roman" w:hAnsi="Cambria Math" w:cs="Times New Roman"/>
                      <w:i/>
                      <w:noProof/>
                      <w:szCs w:val="20"/>
                    </w:rPr>
                  </m:ctrlPr>
                </m:sSubSupPr>
                <m:e>
                  <m:r>
                    <w:rPr>
                      <w:rFonts w:ascii="Cambria Math" w:eastAsia="Times New Roman" w:hAnsi="Cambria Math" w:cs="Times New Roman"/>
                      <w:noProof/>
                      <w:szCs w:val="20"/>
                    </w:rPr>
                    <m:t>N</m:t>
                  </m:r>
                </m:e>
                <m:sub>
                  <m:r>
                    <m:rPr>
                      <m:nor/>
                    </m:rPr>
                    <w:rPr>
                      <w:rFonts w:ascii="Cambria Math" w:eastAsia="Times New Roman" w:hAnsi="Cambria Math" w:cs="Times New Roman"/>
                      <w:noProof/>
                      <w:szCs w:val="20"/>
                    </w:rPr>
                    <m:t>gap</m:t>
                  </m:r>
                </m:sub>
                <m:sup>
                  <m:r>
                    <m:rPr>
                      <m:nor/>
                    </m:rPr>
                    <w:rPr>
                      <w:rFonts w:ascii="Cambria Math" w:eastAsia="Times New Roman" w:hAnsi="Cambria Math" w:cs="Times New Roman"/>
                      <w:noProof/>
                      <w:szCs w:val="20"/>
                    </w:rPr>
                    <m:t>precompensation</m:t>
                  </m:r>
                </m:sup>
              </m:sSubSup>
            </m:oMath>
            <w:r w:rsidRPr="00F17011">
              <w:rPr>
                <w:rFonts w:eastAsia="Times New Roman" w:cs="Times New Roman"/>
                <w:szCs w:val="20"/>
                <w:lang w:eastAsia="ja-JP"/>
              </w:rPr>
              <w:t xml:space="preserve"> is configured by higher layers based on the UE capability if signalled.</w:t>
            </w:r>
          </w:p>
        </w:tc>
      </w:tr>
    </w:tbl>
    <w:p w14:paraId="720F2B19" w14:textId="77777777" w:rsidR="00F17011" w:rsidRDefault="00F17011" w:rsidP="002F0DEF"/>
    <w:p w14:paraId="3C646194" w14:textId="3CD6C5B4" w:rsidR="002F0DEF" w:rsidRDefault="002F0DEF" w:rsidP="002F0DEF">
      <w:r>
        <w:t>Based on the observations above, we propose:</w:t>
      </w:r>
    </w:p>
    <w:p w14:paraId="2FDA29A7" w14:textId="05DAE6B5" w:rsidR="002F0DEF" w:rsidRDefault="002F0DEF" w:rsidP="002F0DEF">
      <w:pPr>
        <w:pStyle w:val="RAN4proposal"/>
      </w:pPr>
      <w:bookmarkStart w:id="5" w:name="_Toc210412057"/>
      <w:r>
        <w:lastRenderedPageBreak/>
        <w:t>For the cases where the UE is configured with segmentation within the burst of 8 consecutive UL transmissions, the segmentation shall be applied if the timing advance is increasing between the consecutive segments.</w:t>
      </w:r>
      <w:bookmarkEnd w:id="5"/>
      <w:r>
        <w:t xml:space="preserve"> </w:t>
      </w:r>
    </w:p>
    <w:p w14:paraId="3243B252" w14:textId="0B51C1FD" w:rsidR="002F0DEF" w:rsidRPr="002F0DEF" w:rsidRDefault="002F0DEF" w:rsidP="002F0DEF">
      <w:pPr>
        <w:pStyle w:val="RAN4proposal"/>
      </w:pPr>
      <w:bookmarkStart w:id="6" w:name="_Toc210412058"/>
      <w:r>
        <w:t>Notify RAN1 of the new RAN4 understanding.</w:t>
      </w:r>
      <w:bookmarkEnd w:id="6"/>
      <w:r>
        <w:t xml:space="preserve"> </w:t>
      </w:r>
    </w:p>
    <w:p w14:paraId="151F4891" w14:textId="4FE3A9A0" w:rsidR="00893D2E" w:rsidRPr="008F786B" w:rsidRDefault="00893D2E">
      <w:pPr>
        <w:rPr>
          <w:rFonts w:ascii="Arial" w:eastAsia="SimSun" w:hAnsi="Arial" w:cs="Times New Roman"/>
          <w:sz w:val="36"/>
          <w:szCs w:val="20"/>
        </w:rPr>
      </w:pPr>
      <w:bookmarkStart w:id="7" w:name="_Toc116995848"/>
      <w:r w:rsidRPr="008F786B">
        <w:br w:type="page"/>
      </w:r>
    </w:p>
    <w:p w14:paraId="6C2FA0A4" w14:textId="77777777" w:rsidR="00CD7492" w:rsidRPr="008F786B" w:rsidRDefault="00CD7492" w:rsidP="00A37002">
      <w:pPr>
        <w:pStyle w:val="RAN4H1"/>
      </w:pPr>
      <w:r w:rsidRPr="008F786B">
        <w:lastRenderedPageBreak/>
        <w:t>Conclusion</w:t>
      </w:r>
      <w:bookmarkEnd w:id="7"/>
    </w:p>
    <w:p w14:paraId="04503E92" w14:textId="2AE8C4B8" w:rsidR="00381F95" w:rsidRPr="008F786B" w:rsidRDefault="002B218C" w:rsidP="00936159">
      <w:r>
        <w:t xml:space="preserve">In this paper we discussed the TDD punctured pattern for IoT NTN UEs. </w:t>
      </w:r>
      <w:r w:rsidR="00381F95" w:rsidRPr="008F786B">
        <w:t>T</w:t>
      </w:r>
      <w:r w:rsidR="005B4801" w:rsidRPr="008F786B">
        <w:t xml:space="preserve">he following Observations </w:t>
      </w:r>
      <w:r w:rsidR="008B0961" w:rsidRPr="008F786B">
        <w:t>and</w:t>
      </w:r>
      <w:r w:rsidR="005B4801" w:rsidRPr="008F786B">
        <w:t xml:space="preserve"> Proposals were made:</w:t>
      </w:r>
    </w:p>
    <w:p w14:paraId="57DDFA7F" w14:textId="77777777" w:rsidR="0072115F" w:rsidRDefault="00A4355E">
      <w:pPr>
        <w:pStyle w:val="TOC4"/>
        <w:tabs>
          <w:tab w:val="right" w:leader="dot" w:pos="9617"/>
        </w:tabs>
        <w:rPr>
          <w:rFonts w:asciiTheme="minorHAnsi" w:eastAsiaTheme="minorEastAsia" w:hAnsiTheme="minorHAnsi"/>
          <w:noProof/>
          <w:kern w:val="2"/>
          <w:sz w:val="24"/>
          <w:szCs w:val="24"/>
          <w:lang w:val="en-US" w:eastAsia="zh-CN"/>
          <w14:ligatures w14:val="standardContextual"/>
        </w:rPr>
      </w:pPr>
      <w:r w:rsidRPr="008F786B">
        <w:rPr>
          <w:b/>
          <w:i/>
          <w:iCs/>
          <w:u w:val="single"/>
        </w:rPr>
        <w:fldChar w:fldCharType="begin"/>
      </w:r>
      <w:r w:rsidRPr="008F786B">
        <w:rPr>
          <w:i/>
          <w:iCs/>
          <w:u w:val="single"/>
        </w:rPr>
        <w:instrText xml:space="preserve"> TOC \n \h \z \t "RAN4 proposal,5,RAN4 observation,4" </w:instrText>
      </w:r>
      <w:r w:rsidRPr="008F786B">
        <w:rPr>
          <w:b/>
          <w:i/>
          <w:iCs/>
          <w:u w:val="single"/>
        </w:rPr>
        <w:fldChar w:fldCharType="separate"/>
      </w:r>
      <w:hyperlink w:anchor="_Toc210412054" w:history="1">
        <w:r w:rsidR="0072115F" w:rsidRPr="00594A05">
          <w:rPr>
            <w:rStyle w:val="Hyperlink"/>
            <w:b/>
            <w:noProof/>
          </w:rPr>
          <w:t>Observation 1:</w:t>
        </w:r>
        <w:r w:rsidR="0072115F" w:rsidRPr="00594A05">
          <w:rPr>
            <w:rStyle w:val="Hyperlink"/>
            <w:noProof/>
          </w:rPr>
          <w:t xml:space="preserve"> The absence (or introduction) of the pre-compensation gap is inconsequential for the frequency error requirements in RAN4.</w:t>
        </w:r>
      </w:hyperlink>
    </w:p>
    <w:p w14:paraId="79DFC50E" w14:textId="77777777" w:rsidR="0072115F" w:rsidRDefault="0072115F">
      <w:pPr>
        <w:pStyle w:val="TOC4"/>
        <w:tabs>
          <w:tab w:val="right" w:leader="dot" w:pos="9617"/>
        </w:tabs>
        <w:rPr>
          <w:rFonts w:asciiTheme="minorHAnsi" w:eastAsiaTheme="minorEastAsia" w:hAnsiTheme="minorHAnsi"/>
          <w:noProof/>
          <w:kern w:val="2"/>
          <w:sz w:val="24"/>
          <w:szCs w:val="24"/>
          <w:lang w:val="en-US" w:eastAsia="zh-CN"/>
          <w14:ligatures w14:val="standardContextual"/>
        </w:rPr>
      </w:pPr>
      <w:hyperlink w:anchor="_Toc210412055" w:history="1">
        <w:r w:rsidRPr="00594A05">
          <w:rPr>
            <w:rStyle w:val="Hyperlink"/>
            <w:b/>
            <w:noProof/>
          </w:rPr>
          <w:t>Observation 2:</w:t>
        </w:r>
        <w:r w:rsidRPr="00594A05">
          <w:rPr>
            <w:rStyle w:val="Hyperlink"/>
            <w:noProof/>
          </w:rPr>
          <w:t xml:space="preserve"> By stating that the pre-compensation gap is not applicable in band 249, we are preventing it to be used for timing adjustments.</w:t>
        </w:r>
      </w:hyperlink>
    </w:p>
    <w:p w14:paraId="1897B202" w14:textId="77777777" w:rsidR="0072115F" w:rsidRDefault="0072115F">
      <w:pPr>
        <w:pStyle w:val="TOC4"/>
        <w:tabs>
          <w:tab w:val="right" w:leader="dot" w:pos="9617"/>
        </w:tabs>
        <w:rPr>
          <w:rFonts w:asciiTheme="minorHAnsi" w:eastAsiaTheme="minorEastAsia" w:hAnsiTheme="minorHAnsi"/>
          <w:noProof/>
          <w:kern w:val="2"/>
          <w:sz w:val="24"/>
          <w:szCs w:val="24"/>
          <w:lang w:val="en-US" w:eastAsia="zh-CN"/>
          <w14:ligatures w14:val="standardContextual"/>
        </w:rPr>
      </w:pPr>
      <w:hyperlink w:anchor="_Toc210412056" w:history="1">
        <w:r w:rsidRPr="00594A05">
          <w:rPr>
            <w:rStyle w:val="Hyperlink"/>
            <w:b/>
            <w:noProof/>
          </w:rPr>
          <w:t>Observation 3:</w:t>
        </w:r>
        <w:r w:rsidRPr="00594A05">
          <w:rPr>
            <w:rStyle w:val="Hyperlink"/>
            <w:noProof/>
          </w:rPr>
          <w:t xml:space="preserve"> If the timing advance is decreasing between consecutive segments, the segmentation gap is not needed. However, if the timing advance is increasing between two consecutive segments, the segmentation gap is needed.</w:t>
        </w:r>
      </w:hyperlink>
    </w:p>
    <w:p w14:paraId="0E94BD63" w14:textId="77777777" w:rsidR="0072115F" w:rsidRDefault="0072115F">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10412057" w:history="1">
        <w:r w:rsidRPr="00594A05">
          <w:rPr>
            <w:rStyle w:val="Hyperlink"/>
            <w:noProof/>
          </w:rPr>
          <w:t>Proposal 1: For the cases where the UE is configured with segmentation within the burst of 8 consecutive UL transmissions, the segmentation shall be applied if the timing advance is increasing between the consecutive segments.</w:t>
        </w:r>
      </w:hyperlink>
    </w:p>
    <w:p w14:paraId="7B323D74" w14:textId="77777777" w:rsidR="0072115F" w:rsidRDefault="0072115F">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10412058" w:history="1">
        <w:r w:rsidRPr="00594A05">
          <w:rPr>
            <w:rStyle w:val="Hyperlink"/>
            <w:noProof/>
          </w:rPr>
          <w:t>Proposal 2: Notify RAN1 of the new RAN4 understanding.</w:t>
        </w:r>
      </w:hyperlink>
    </w:p>
    <w:p w14:paraId="758ADA6E" w14:textId="516C77B6" w:rsidR="00847264" w:rsidRPr="008F786B" w:rsidRDefault="00A4355E" w:rsidP="008C39F7">
      <w:r w:rsidRPr="008F786B">
        <w:fldChar w:fldCharType="end"/>
      </w:r>
      <w:bookmarkStart w:id="8" w:name="_Toc116995849"/>
    </w:p>
    <w:p w14:paraId="6AEA997B" w14:textId="77777777" w:rsidR="003B659E" w:rsidRPr="008F786B" w:rsidRDefault="003B659E" w:rsidP="0060543D">
      <w:pPr>
        <w:pStyle w:val="RAN4H1"/>
        <w:numPr>
          <w:ilvl w:val="0"/>
          <w:numId w:val="0"/>
        </w:numPr>
        <w:ind w:left="360" w:hanging="360"/>
      </w:pPr>
      <w:r w:rsidRPr="008F786B">
        <w:t>References</w:t>
      </w:r>
      <w:bookmarkEnd w:id="8"/>
    </w:p>
    <w:p w14:paraId="740C638B" w14:textId="77777777" w:rsidR="000629A4" w:rsidRDefault="000629A4" w:rsidP="000629A4">
      <w:pPr>
        <w:pStyle w:val="ListParagraph"/>
        <w:numPr>
          <w:ilvl w:val="0"/>
          <w:numId w:val="21"/>
        </w:numPr>
        <w:spacing w:line="276" w:lineRule="auto"/>
        <w:rPr>
          <w:rFonts w:cstheme="minorHAnsi"/>
          <w:sz w:val="22"/>
          <w:lang w:val="en-US"/>
        </w:rPr>
      </w:pPr>
      <w:bookmarkStart w:id="9" w:name="_Ref114500673"/>
      <w:bookmarkStart w:id="10" w:name="_Ref189739749"/>
      <w:bookmarkStart w:id="11" w:name="_Ref141200037"/>
      <w:bookmarkStart w:id="12" w:name="_Ref101780668"/>
      <w:bookmarkStart w:id="13" w:name="_Ref130930496"/>
      <w:bookmarkStart w:id="14" w:name="_Ref117621126"/>
      <w:bookmarkStart w:id="15" w:name="_Ref110865186"/>
      <w:bookmarkEnd w:id="9"/>
      <w:r>
        <w:rPr>
          <w:rFonts w:cstheme="minorHAnsi"/>
          <w:sz w:val="22"/>
          <w:lang w:val="en-US"/>
        </w:rPr>
        <w:t>RP-242415, “New WID on introduction of IoT-NTN TDD mode”, September 2024</w:t>
      </w:r>
      <w:bookmarkEnd w:id="10"/>
    </w:p>
    <w:p w14:paraId="1A53C6D5" w14:textId="4B3F1FB4" w:rsidR="000629A4" w:rsidRDefault="00544D73" w:rsidP="000629A4">
      <w:pPr>
        <w:pStyle w:val="ListParagraph"/>
        <w:numPr>
          <w:ilvl w:val="0"/>
          <w:numId w:val="21"/>
        </w:numPr>
        <w:spacing w:line="276" w:lineRule="auto"/>
        <w:rPr>
          <w:rFonts w:cstheme="minorHAnsi"/>
          <w:sz w:val="22"/>
          <w:lang w:val="en-US"/>
        </w:rPr>
      </w:pPr>
      <w:bookmarkStart w:id="16" w:name="_Ref189740025"/>
      <w:bookmarkStart w:id="17" w:name="_Ref210322611"/>
      <w:r w:rsidRPr="00544D73">
        <w:rPr>
          <w:rFonts w:cstheme="minorHAnsi"/>
          <w:sz w:val="22"/>
        </w:rPr>
        <w:t>R4-2512550</w:t>
      </w:r>
      <w:r w:rsidR="000629A4" w:rsidRPr="007F448E">
        <w:rPr>
          <w:rFonts w:cstheme="minorHAnsi"/>
          <w:b/>
          <w:bCs/>
          <w:sz w:val="22"/>
        </w:rPr>
        <w:t xml:space="preserve">,  </w:t>
      </w:r>
      <w:r w:rsidRPr="00544D73">
        <w:rPr>
          <w:rFonts w:cstheme="minorHAnsi"/>
          <w:i/>
          <w:iCs/>
          <w:sz w:val="22"/>
        </w:rPr>
        <w:t>Introduction of IoT-NTN TDD mode (IoT_NTN_TDD-Core)</w:t>
      </w:r>
      <w:r w:rsidR="000629A4" w:rsidRPr="007F448E">
        <w:rPr>
          <w:rFonts w:cstheme="minorHAnsi"/>
          <w:sz w:val="22"/>
        </w:rPr>
        <w:t xml:space="preserve">, </w:t>
      </w:r>
      <w:r w:rsidR="000629A4" w:rsidRPr="007F448E">
        <w:rPr>
          <w:rFonts w:cstheme="minorHAnsi"/>
          <w:b/>
          <w:bCs/>
          <w:sz w:val="22"/>
        </w:rPr>
        <w:t xml:space="preserve">  </w:t>
      </w:r>
      <w:r>
        <w:rPr>
          <w:rFonts w:cstheme="minorHAnsi"/>
          <w:sz w:val="22"/>
        </w:rPr>
        <w:t>Iridium</w:t>
      </w:r>
      <w:r w:rsidR="000629A4" w:rsidRPr="007F448E">
        <w:rPr>
          <w:rFonts w:cstheme="minorHAnsi"/>
          <w:sz w:val="22"/>
        </w:rPr>
        <w:t xml:space="preserve">,  </w:t>
      </w:r>
      <w:bookmarkEnd w:id="11"/>
      <w:bookmarkEnd w:id="12"/>
      <w:bookmarkEnd w:id="13"/>
      <w:bookmarkEnd w:id="14"/>
      <w:bookmarkEnd w:id="15"/>
      <w:bookmarkEnd w:id="16"/>
      <w:r w:rsidR="00915E96" w:rsidRPr="00915E96">
        <w:rPr>
          <w:rFonts w:cstheme="minorHAnsi"/>
          <w:sz w:val="22"/>
        </w:rPr>
        <w:t>Bengaluru, India, August 25th – 29th, 2025</w:t>
      </w:r>
      <w:bookmarkEnd w:id="17"/>
    </w:p>
    <w:p w14:paraId="2EA54AB6" w14:textId="77777777" w:rsidR="00581618" w:rsidRPr="008F786B" w:rsidRDefault="00581618" w:rsidP="00FA439D">
      <w:pPr>
        <w:pStyle w:val="ListParagraph"/>
      </w:pPr>
    </w:p>
    <w:p w14:paraId="0A44CAC0"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140DA9" w14:textId="77777777" w:rsidR="001F528B" w:rsidRDefault="001F528B" w:rsidP="00001C9B">
      <w:pPr>
        <w:spacing w:after="0" w:line="240" w:lineRule="auto"/>
      </w:pPr>
      <w:r>
        <w:separator/>
      </w:r>
    </w:p>
  </w:endnote>
  <w:endnote w:type="continuationSeparator" w:id="0">
    <w:p w14:paraId="01F95D79" w14:textId="77777777" w:rsidR="001F528B" w:rsidRDefault="001F528B" w:rsidP="00001C9B">
      <w:pPr>
        <w:spacing w:after="0" w:line="240" w:lineRule="auto"/>
      </w:pPr>
      <w:r>
        <w:continuationSeparator/>
      </w:r>
    </w:p>
  </w:endnote>
  <w:endnote w:type="continuationNotice" w:id="1">
    <w:p w14:paraId="12509AC7" w14:textId="77777777" w:rsidR="001F528B" w:rsidRDefault="001F52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424769" w14:textId="77777777" w:rsidR="001F528B" w:rsidRDefault="001F528B" w:rsidP="00001C9B">
      <w:pPr>
        <w:spacing w:after="0" w:line="240" w:lineRule="auto"/>
      </w:pPr>
      <w:r>
        <w:separator/>
      </w:r>
    </w:p>
  </w:footnote>
  <w:footnote w:type="continuationSeparator" w:id="0">
    <w:p w14:paraId="41DF15EC" w14:textId="77777777" w:rsidR="001F528B" w:rsidRDefault="001F528B" w:rsidP="00001C9B">
      <w:pPr>
        <w:spacing w:after="0" w:line="240" w:lineRule="auto"/>
      </w:pPr>
      <w:r>
        <w:continuationSeparator/>
      </w:r>
    </w:p>
  </w:footnote>
  <w:footnote w:type="continuationNotice" w:id="1">
    <w:p w14:paraId="396DD198" w14:textId="77777777" w:rsidR="001F528B" w:rsidRDefault="001F528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6D34A2"/>
    <w:multiLevelType w:val="multilevel"/>
    <w:tmpl w:val="0A6D3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7BB1B36"/>
    <w:multiLevelType w:val="hybridMultilevel"/>
    <w:tmpl w:val="990C0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E8E52FE"/>
    <w:multiLevelType w:val="hybridMultilevel"/>
    <w:tmpl w:val="3934D1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22558F"/>
    <w:multiLevelType w:val="hybridMultilevel"/>
    <w:tmpl w:val="149E790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08CA8D1E">
      <w:start w:val="7"/>
      <w:numFmt w:val="bullet"/>
      <w:lvlText w:val=""/>
      <w:lvlJc w:val="left"/>
      <w:pPr>
        <w:ind w:left="2880" w:hanging="360"/>
      </w:pPr>
      <w:rPr>
        <w:rFonts w:ascii="Wingdings" w:eastAsia="SimSun" w:hAnsi="Wingdings" w:cs="Times New Roman"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3A474F"/>
    <w:multiLevelType w:val="hybridMultilevel"/>
    <w:tmpl w:val="845EA5FC"/>
    <w:lvl w:ilvl="0" w:tplc="E0D4AFF0">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594338F"/>
    <w:multiLevelType w:val="hybridMultilevel"/>
    <w:tmpl w:val="C15C8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51216A"/>
    <w:multiLevelType w:val="hybridMultilevel"/>
    <w:tmpl w:val="624C8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C12FDB"/>
    <w:multiLevelType w:val="multilevel"/>
    <w:tmpl w:val="51C12FDB"/>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7440FBC"/>
    <w:multiLevelType w:val="hybridMultilevel"/>
    <w:tmpl w:val="9A729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B731FFD"/>
    <w:multiLevelType w:val="hybridMultilevel"/>
    <w:tmpl w:val="C8E44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956824"/>
    <w:multiLevelType w:val="hybridMultilevel"/>
    <w:tmpl w:val="0C5EDB64"/>
    <w:lvl w:ilvl="0" w:tplc="04090001">
      <w:start w:val="1"/>
      <w:numFmt w:val="bullet"/>
      <w:lvlText w:val=""/>
      <w:lvlJc w:val="left"/>
      <w:pPr>
        <w:ind w:left="284" w:hanging="360"/>
      </w:pPr>
      <w:rPr>
        <w:rFonts w:ascii="Symbol" w:hAnsi="Symbol" w:hint="default"/>
      </w:rPr>
    </w:lvl>
    <w:lvl w:ilvl="1" w:tplc="C6C61D86">
      <w:numFmt w:val="bullet"/>
      <w:lvlText w:val="•"/>
      <w:lvlJc w:val="left"/>
      <w:pPr>
        <w:ind w:left="1004" w:hanging="360"/>
      </w:pPr>
      <w:rPr>
        <w:rFonts w:ascii="Times New Roman" w:eastAsia="SimSun" w:hAnsi="Times New Roman" w:cs="Times New Roman" w:hint="default"/>
      </w:rPr>
    </w:lvl>
    <w:lvl w:ilvl="2" w:tplc="04090005">
      <w:start w:val="1"/>
      <w:numFmt w:val="bullet"/>
      <w:lvlText w:val=""/>
      <w:lvlJc w:val="left"/>
      <w:pPr>
        <w:ind w:left="1724" w:hanging="360"/>
      </w:pPr>
      <w:rPr>
        <w:rFonts w:ascii="Wingdings" w:hAnsi="Wingdings" w:hint="default"/>
      </w:rPr>
    </w:lvl>
    <w:lvl w:ilvl="3" w:tplc="04090001">
      <w:start w:val="1"/>
      <w:numFmt w:val="bullet"/>
      <w:lvlText w:val=""/>
      <w:lvlJc w:val="left"/>
      <w:pPr>
        <w:ind w:left="2444" w:hanging="360"/>
      </w:pPr>
      <w:rPr>
        <w:rFonts w:ascii="Symbol" w:hAnsi="Symbol" w:hint="default"/>
      </w:rPr>
    </w:lvl>
    <w:lvl w:ilvl="4" w:tplc="04090003">
      <w:start w:val="1"/>
      <w:numFmt w:val="bullet"/>
      <w:lvlText w:val="o"/>
      <w:lvlJc w:val="left"/>
      <w:pPr>
        <w:ind w:left="3164" w:hanging="360"/>
      </w:pPr>
      <w:rPr>
        <w:rFonts w:ascii="Courier New" w:hAnsi="Courier New" w:cs="Courier New" w:hint="default"/>
      </w:rPr>
    </w:lvl>
    <w:lvl w:ilvl="5" w:tplc="04090005">
      <w:start w:val="1"/>
      <w:numFmt w:val="bullet"/>
      <w:lvlText w:val=""/>
      <w:lvlJc w:val="left"/>
      <w:pPr>
        <w:ind w:left="3884" w:hanging="360"/>
      </w:pPr>
      <w:rPr>
        <w:rFonts w:ascii="Wingdings" w:hAnsi="Wingdings" w:hint="default"/>
      </w:rPr>
    </w:lvl>
    <w:lvl w:ilvl="6" w:tplc="04090001">
      <w:start w:val="1"/>
      <w:numFmt w:val="bullet"/>
      <w:lvlText w:val=""/>
      <w:lvlJc w:val="left"/>
      <w:pPr>
        <w:ind w:left="4604" w:hanging="360"/>
      </w:pPr>
      <w:rPr>
        <w:rFonts w:ascii="Symbol" w:hAnsi="Symbol" w:hint="default"/>
      </w:rPr>
    </w:lvl>
    <w:lvl w:ilvl="7" w:tplc="04090003">
      <w:start w:val="1"/>
      <w:numFmt w:val="bullet"/>
      <w:lvlText w:val="o"/>
      <w:lvlJc w:val="left"/>
      <w:pPr>
        <w:ind w:left="5324" w:hanging="360"/>
      </w:pPr>
      <w:rPr>
        <w:rFonts w:ascii="Courier New" w:hAnsi="Courier New" w:cs="Courier New" w:hint="default"/>
      </w:rPr>
    </w:lvl>
    <w:lvl w:ilvl="8" w:tplc="04090005">
      <w:start w:val="1"/>
      <w:numFmt w:val="bullet"/>
      <w:lvlText w:val=""/>
      <w:lvlJc w:val="left"/>
      <w:pPr>
        <w:ind w:left="6044" w:hanging="360"/>
      </w:pPr>
      <w:rPr>
        <w:rFonts w:ascii="Wingdings" w:hAnsi="Wingdings" w:hint="default"/>
      </w:rPr>
    </w:lvl>
  </w:abstractNum>
  <w:abstractNum w:abstractNumId="2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684"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SimSun" w:hAnsi="Times New Roman" w:cs="Times New Roman" w:hint="default"/>
      </w:rPr>
    </w:lvl>
  </w:abstractNum>
  <w:abstractNum w:abstractNumId="2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F068F8"/>
    <w:multiLevelType w:val="hybridMultilevel"/>
    <w:tmpl w:val="E1C62AB6"/>
    <w:lvl w:ilvl="0" w:tplc="BBCC1CB0">
      <w:start w:val="3"/>
      <w:numFmt w:val="bullet"/>
      <w:lvlText w:val="-"/>
      <w:lvlJc w:val="left"/>
      <w:pPr>
        <w:ind w:left="405" w:hanging="360"/>
      </w:pPr>
      <w:rPr>
        <w:rFonts w:ascii="Times New Roman" w:eastAsiaTheme="minorHAnsi"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10"/>
  </w:num>
  <w:num w:numId="3" w16cid:durableId="1792749823">
    <w:abstractNumId w:val="16"/>
  </w:num>
  <w:num w:numId="4" w16cid:durableId="517735681">
    <w:abstractNumId w:val="8"/>
  </w:num>
  <w:num w:numId="5" w16cid:durableId="1142041724">
    <w:abstractNumId w:val="25"/>
  </w:num>
  <w:num w:numId="6" w16cid:durableId="80681869">
    <w:abstractNumId w:val="14"/>
  </w:num>
  <w:num w:numId="7" w16cid:durableId="1566528953">
    <w:abstractNumId w:val="15"/>
  </w:num>
  <w:num w:numId="8" w16cid:durableId="809788981">
    <w:abstractNumId w:val="15"/>
    <w:lvlOverride w:ilvl="0">
      <w:startOverride w:val="1"/>
    </w:lvlOverride>
  </w:num>
  <w:num w:numId="9" w16cid:durableId="1398822153">
    <w:abstractNumId w:val="15"/>
    <w:lvlOverride w:ilvl="0">
      <w:startOverride w:val="1"/>
    </w:lvlOverride>
  </w:num>
  <w:num w:numId="10" w16cid:durableId="1825466284">
    <w:abstractNumId w:val="15"/>
    <w:lvlOverride w:ilvl="0">
      <w:startOverride w:val="1"/>
    </w:lvlOverride>
  </w:num>
  <w:num w:numId="11" w16cid:durableId="1446922321">
    <w:abstractNumId w:val="14"/>
    <w:lvlOverride w:ilvl="0">
      <w:startOverride w:val="1"/>
    </w:lvlOverride>
  </w:num>
  <w:num w:numId="12" w16cid:durableId="122584543">
    <w:abstractNumId w:val="15"/>
    <w:lvlOverride w:ilvl="0">
      <w:startOverride w:val="1"/>
    </w:lvlOverride>
  </w:num>
  <w:num w:numId="13" w16cid:durableId="818807267">
    <w:abstractNumId w:val="14"/>
    <w:lvlOverride w:ilvl="0">
      <w:startOverride w:val="1"/>
    </w:lvlOverride>
  </w:num>
  <w:num w:numId="14" w16cid:durableId="883829348">
    <w:abstractNumId w:val="15"/>
    <w:lvlOverride w:ilvl="0">
      <w:startOverride w:val="1"/>
    </w:lvlOverride>
  </w:num>
  <w:num w:numId="15" w16cid:durableId="438372887">
    <w:abstractNumId w:val="26"/>
  </w:num>
  <w:num w:numId="16" w16cid:durableId="516113510">
    <w:abstractNumId w:val="6"/>
  </w:num>
  <w:num w:numId="17" w16cid:durableId="1456096507">
    <w:abstractNumId w:val="23"/>
  </w:num>
  <w:num w:numId="18" w16cid:durableId="1397970374">
    <w:abstractNumId w:val="2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3"/>
  </w:num>
  <w:num w:numId="21" w16cid:durableId="1659071369">
    <w:abstractNumId w:val="20"/>
  </w:num>
  <w:num w:numId="22" w16cid:durableId="1938362445">
    <w:abstractNumId w:val="14"/>
    <w:lvlOverride w:ilvl="0">
      <w:startOverride w:val="1"/>
    </w:lvlOverride>
  </w:num>
  <w:num w:numId="23" w16cid:durableId="913515990">
    <w:abstractNumId w:val="15"/>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1140414542">
    <w:abstractNumId w:val="28"/>
  </w:num>
  <w:num w:numId="28" w16cid:durableId="2095668156">
    <w:abstractNumId w:val="4"/>
  </w:num>
  <w:num w:numId="29" w16cid:durableId="1893615082">
    <w:abstractNumId w:val="22"/>
  </w:num>
  <w:num w:numId="30" w16cid:durableId="418841187">
    <w:abstractNumId w:val="7"/>
  </w:num>
  <w:num w:numId="31" w16cid:durableId="1467619928">
    <w:abstractNumId w:val="21"/>
  </w:num>
  <w:num w:numId="32" w16cid:durableId="1161698945">
    <w:abstractNumId w:val="18"/>
  </w:num>
  <w:num w:numId="33" w16cid:durableId="351147740">
    <w:abstractNumId w:val="22"/>
  </w:num>
  <w:num w:numId="34" w16cid:durableId="1870296906">
    <w:abstractNumId w:val="9"/>
  </w:num>
  <w:num w:numId="35" w16cid:durableId="4940846">
    <w:abstractNumId w:val="5"/>
  </w:num>
  <w:num w:numId="36" w16cid:durableId="313991593">
    <w:abstractNumId w:val="2"/>
  </w:num>
  <w:num w:numId="37" w16cid:durableId="2060127466">
    <w:abstractNumId w:val="5"/>
  </w:num>
  <w:num w:numId="38" w16cid:durableId="1700936536">
    <w:abstractNumId w:val="19"/>
  </w:num>
  <w:num w:numId="39" w16cid:durableId="511994427">
    <w:abstractNumId w:val="24"/>
  </w:num>
  <w:num w:numId="40" w16cid:durableId="306590555">
    <w:abstractNumId w:val="27"/>
  </w:num>
  <w:num w:numId="41" w16cid:durableId="871963791">
    <w:abstractNumId w:val="11"/>
  </w:num>
  <w:num w:numId="42" w16cid:durableId="698357145">
    <w:abstractNumId w:val="12"/>
  </w:num>
  <w:num w:numId="43" w16cid:durableId="8747349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C132E3"/>
    <w:rsid w:val="00001C9B"/>
    <w:rsid w:val="00003AA1"/>
    <w:rsid w:val="000040DC"/>
    <w:rsid w:val="00011784"/>
    <w:rsid w:val="000151EF"/>
    <w:rsid w:val="00020101"/>
    <w:rsid w:val="000239F5"/>
    <w:rsid w:val="000469D8"/>
    <w:rsid w:val="0005383C"/>
    <w:rsid w:val="00061256"/>
    <w:rsid w:val="000629A4"/>
    <w:rsid w:val="00072CCA"/>
    <w:rsid w:val="00075175"/>
    <w:rsid w:val="0007601C"/>
    <w:rsid w:val="00081544"/>
    <w:rsid w:val="0008612A"/>
    <w:rsid w:val="00090E18"/>
    <w:rsid w:val="000A08FD"/>
    <w:rsid w:val="000A10BC"/>
    <w:rsid w:val="000A7F53"/>
    <w:rsid w:val="000B0056"/>
    <w:rsid w:val="000C3C7B"/>
    <w:rsid w:val="000D0F93"/>
    <w:rsid w:val="000F5285"/>
    <w:rsid w:val="00106416"/>
    <w:rsid w:val="00110481"/>
    <w:rsid w:val="001127C9"/>
    <w:rsid w:val="00112EA1"/>
    <w:rsid w:val="00114498"/>
    <w:rsid w:val="00115B88"/>
    <w:rsid w:val="00132F6A"/>
    <w:rsid w:val="0013336B"/>
    <w:rsid w:val="00133913"/>
    <w:rsid w:val="00140221"/>
    <w:rsid w:val="00156390"/>
    <w:rsid w:val="00161913"/>
    <w:rsid w:val="00161EB9"/>
    <w:rsid w:val="001642FC"/>
    <w:rsid w:val="0016496B"/>
    <w:rsid w:val="001743E2"/>
    <w:rsid w:val="001745F8"/>
    <w:rsid w:val="00182687"/>
    <w:rsid w:val="001838CF"/>
    <w:rsid w:val="001868EE"/>
    <w:rsid w:val="00187474"/>
    <w:rsid w:val="00194AEC"/>
    <w:rsid w:val="001A3BA4"/>
    <w:rsid w:val="001A6D1F"/>
    <w:rsid w:val="001B1EA8"/>
    <w:rsid w:val="001E30F6"/>
    <w:rsid w:val="001F528B"/>
    <w:rsid w:val="00216379"/>
    <w:rsid w:val="00217EE5"/>
    <w:rsid w:val="00223088"/>
    <w:rsid w:val="0023559D"/>
    <w:rsid w:val="00235F5C"/>
    <w:rsid w:val="0024235F"/>
    <w:rsid w:val="002433E2"/>
    <w:rsid w:val="0024614C"/>
    <w:rsid w:val="00257FA3"/>
    <w:rsid w:val="00261061"/>
    <w:rsid w:val="00263B1E"/>
    <w:rsid w:val="00277B56"/>
    <w:rsid w:val="00282A74"/>
    <w:rsid w:val="002849D4"/>
    <w:rsid w:val="0029031D"/>
    <w:rsid w:val="00295E70"/>
    <w:rsid w:val="002A19F5"/>
    <w:rsid w:val="002A2305"/>
    <w:rsid w:val="002A276F"/>
    <w:rsid w:val="002A5AAA"/>
    <w:rsid w:val="002B00DE"/>
    <w:rsid w:val="002B218C"/>
    <w:rsid w:val="002B4922"/>
    <w:rsid w:val="002B69F3"/>
    <w:rsid w:val="002C22C3"/>
    <w:rsid w:val="002C2D19"/>
    <w:rsid w:val="002D10FA"/>
    <w:rsid w:val="002D4C55"/>
    <w:rsid w:val="002E1771"/>
    <w:rsid w:val="002E411A"/>
    <w:rsid w:val="002E6DED"/>
    <w:rsid w:val="002F0DEF"/>
    <w:rsid w:val="002F445A"/>
    <w:rsid w:val="00300956"/>
    <w:rsid w:val="00307EE8"/>
    <w:rsid w:val="00315B57"/>
    <w:rsid w:val="00317187"/>
    <w:rsid w:val="0032499A"/>
    <w:rsid w:val="003341F7"/>
    <w:rsid w:val="003348C1"/>
    <w:rsid w:val="00347FEC"/>
    <w:rsid w:val="003509DF"/>
    <w:rsid w:val="00356F45"/>
    <w:rsid w:val="00366B74"/>
    <w:rsid w:val="003774C0"/>
    <w:rsid w:val="00381F95"/>
    <w:rsid w:val="00396C2A"/>
    <w:rsid w:val="003A24BF"/>
    <w:rsid w:val="003A369E"/>
    <w:rsid w:val="003A6CCE"/>
    <w:rsid w:val="003A710A"/>
    <w:rsid w:val="003B14AF"/>
    <w:rsid w:val="003B2204"/>
    <w:rsid w:val="003B4307"/>
    <w:rsid w:val="003B659E"/>
    <w:rsid w:val="003C0A3C"/>
    <w:rsid w:val="003C275E"/>
    <w:rsid w:val="003C4FDE"/>
    <w:rsid w:val="003D454D"/>
    <w:rsid w:val="003E58DF"/>
    <w:rsid w:val="003F0B9D"/>
    <w:rsid w:val="003F3D4E"/>
    <w:rsid w:val="003F7007"/>
    <w:rsid w:val="00404C4C"/>
    <w:rsid w:val="004104A6"/>
    <w:rsid w:val="0041423F"/>
    <w:rsid w:val="00414F81"/>
    <w:rsid w:val="00426B9A"/>
    <w:rsid w:val="00435F9A"/>
    <w:rsid w:val="00436A0F"/>
    <w:rsid w:val="00437150"/>
    <w:rsid w:val="0043750A"/>
    <w:rsid w:val="00447577"/>
    <w:rsid w:val="00465892"/>
    <w:rsid w:val="0047273A"/>
    <w:rsid w:val="004732E9"/>
    <w:rsid w:val="00481F40"/>
    <w:rsid w:val="004854BB"/>
    <w:rsid w:val="00494493"/>
    <w:rsid w:val="00496606"/>
    <w:rsid w:val="004C6A30"/>
    <w:rsid w:val="004D2311"/>
    <w:rsid w:val="004E5E66"/>
    <w:rsid w:val="004E7ADB"/>
    <w:rsid w:val="00503B4D"/>
    <w:rsid w:val="00504EE9"/>
    <w:rsid w:val="00514E4F"/>
    <w:rsid w:val="00521576"/>
    <w:rsid w:val="005246F1"/>
    <w:rsid w:val="005250E6"/>
    <w:rsid w:val="00525AE3"/>
    <w:rsid w:val="00532F86"/>
    <w:rsid w:val="00535FAA"/>
    <w:rsid w:val="00542D23"/>
    <w:rsid w:val="0054442C"/>
    <w:rsid w:val="00544D73"/>
    <w:rsid w:val="00545E53"/>
    <w:rsid w:val="00550285"/>
    <w:rsid w:val="00562492"/>
    <w:rsid w:val="005624E0"/>
    <w:rsid w:val="00572A20"/>
    <w:rsid w:val="005766D0"/>
    <w:rsid w:val="00581618"/>
    <w:rsid w:val="005836F8"/>
    <w:rsid w:val="005918FA"/>
    <w:rsid w:val="00592A86"/>
    <w:rsid w:val="005B3029"/>
    <w:rsid w:val="005B4801"/>
    <w:rsid w:val="005C140D"/>
    <w:rsid w:val="005C23A4"/>
    <w:rsid w:val="005C7EFA"/>
    <w:rsid w:val="005D1CDF"/>
    <w:rsid w:val="005D2BB7"/>
    <w:rsid w:val="005D6EF6"/>
    <w:rsid w:val="005D6FFE"/>
    <w:rsid w:val="005E61A8"/>
    <w:rsid w:val="005F6419"/>
    <w:rsid w:val="00600FBE"/>
    <w:rsid w:val="0060301D"/>
    <w:rsid w:val="0060386C"/>
    <w:rsid w:val="0060543D"/>
    <w:rsid w:val="006104DD"/>
    <w:rsid w:val="006130B5"/>
    <w:rsid w:val="00614D7C"/>
    <w:rsid w:val="00614DD8"/>
    <w:rsid w:val="00617400"/>
    <w:rsid w:val="00632D29"/>
    <w:rsid w:val="0064171D"/>
    <w:rsid w:val="00664950"/>
    <w:rsid w:val="00683220"/>
    <w:rsid w:val="0068781B"/>
    <w:rsid w:val="00687FA0"/>
    <w:rsid w:val="006A1889"/>
    <w:rsid w:val="006A3C11"/>
    <w:rsid w:val="006B7010"/>
    <w:rsid w:val="006C3095"/>
    <w:rsid w:val="006E1151"/>
    <w:rsid w:val="006E6311"/>
    <w:rsid w:val="006E7B45"/>
    <w:rsid w:val="00701D91"/>
    <w:rsid w:val="00710D71"/>
    <w:rsid w:val="007145FF"/>
    <w:rsid w:val="00715B2A"/>
    <w:rsid w:val="0072115F"/>
    <w:rsid w:val="00733B21"/>
    <w:rsid w:val="007376A9"/>
    <w:rsid w:val="007450F1"/>
    <w:rsid w:val="00751515"/>
    <w:rsid w:val="00751FB5"/>
    <w:rsid w:val="007626B7"/>
    <w:rsid w:val="00772284"/>
    <w:rsid w:val="0078212B"/>
    <w:rsid w:val="00784DF6"/>
    <w:rsid w:val="00785232"/>
    <w:rsid w:val="007A13D3"/>
    <w:rsid w:val="007A2588"/>
    <w:rsid w:val="007A7E68"/>
    <w:rsid w:val="007B186C"/>
    <w:rsid w:val="007C1696"/>
    <w:rsid w:val="007C3ED0"/>
    <w:rsid w:val="007C48C4"/>
    <w:rsid w:val="007C5971"/>
    <w:rsid w:val="007C69E6"/>
    <w:rsid w:val="007E2480"/>
    <w:rsid w:val="007E42DC"/>
    <w:rsid w:val="007E4668"/>
    <w:rsid w:val="007F54B9"/>
    <w:rsid w:val="00806A76"/>
    <w:rsid w:val="00811C9D"/>
    <w:rsid w:val="00816C80"/>
    <w:rsid w:val="0081797B"/>
    <w:rsid w:val="0082796A"/>
    <w:rsid w:val="0083707A"/>
    <w:rsid w:val="00837E95"/>
    <w:rsid w:val="00841BCD"/>
    <w:rsid w:val="00847264"/>
    <w:rsid w:val="00847F03"/>
    <w:rsid w:val="00851A8E"/>
    <w:rsid w:val="0085365B"/>
    <w:rsid w:val="008668DA"/>
    <w:rsid w:val="008819BD"/>
    <w:rsid w:val="008826C1"/>
    <w:rsid w:val="00883DFD"/>
    <w:rsid w:val="008845BD"/>
    <w:rsid w:val="00886BB4"/>
    <w:rsid w:val="008918DC"/>
    <w:rsid w:val="0089210C"/>
    <w:rsid w:val="00893D2E"/>
    <w:rsid w:val="008A1BF7"/>
    <w:rsid w:val="008A5B0E"/>
    <w:rsid w:val="008B0961"/>
    <w:rsid w:val="008B0EA8"/>
    <w:rsid w:val="008C39F7"/>
    <w:rsid w:val="008F40C9"/>
    <w:rsid w:val="008F786B"/>
    <w:rsid w:val="0090091A"/>
    <w:rsid w:val="00901541"/>
    <w:rsid w:val="0090188B"/>
    <w:rsid w:val="0090373B"/>
    <w:rsid w:val="009042BD"/>
    <w:rsid w:val="00904FE4"/>
    <w:rsid w:val="00915E96"/>
    <w:rsid w:val="00927740"/>
    <w:rsid w:val="0093395F"/>
    <w:rsid w:val="00936159"/>
    <w:rsid w:val="00955A99"/>
    <w:rsid w:val="009679BE"/>
    <w:rsid w:val="00977E1D"/>
    <w:rsid w:val="009A32FE"/>
    <w:rsid w:val="009B0573"/>
    <w:rsid w:val="009B0ADC"/>
    <w:rsid w:val="009B3C7B"/>
    <w:rsid w:val="009B7B4B"/>
    <w:rsid w:val="009B7C21"/>
    <w:rsid w:val="009C12EC"/>
    <w:rsid w:val="009E4E6E"/>
    <w:rsid w:val="009E5FA9"/>
    <w:rsid w:val="009F0EE1"/>
    <w:rsid w:val="00A04992"/>
    <w:rsid w:val="00A10BE8"/>
    <w:rsid w:val="00A147AA"/>
    <w:rsid w:val="00A21D71"/>
    <w:rsid w:val="00A22B78"/>
    <w:rsid w:val="00A246F7"/>
    <w:rsid w:val="00A25AE5"/>
    <w:rsid w:val="00A26442"/>
    <w:rsid w:val="00A37002"/>
    <w:rsid w:val="00A4355E"/>
    <w:rsid w:val="00A520D9"/>
    <w:rsid w:val="00A64DA0"/>
    <w:rsid w:val="00A6585D"/>
    <w:rsid w:val="00A666BE"/>
    <w:rsid w:val="00A74866"/>
    <w:rsid w:val="00A92BCD"/>
    <w:rsid w:val="00AA1B0E"/>
    <w:rsid w:val="00AA47B6"/>
    <w:rsid w:val="00AB7A41"/>
    <w:rsid w:val="00AC06C0"/>
    <w:rsid w:val="00AC163B"/>
    <w:rsid w:val="00AC1ED0"/>
    <w:rsid w:val="00AC5CA7"/>
    <w:rsid w:val="00AC6058"/>
    <w:rsid w:val="00AE2BA5"/>
    <w:rsid w:val="00AE56B1"/>
    <w:rsid w:val="00AE6D09"/>
    <w:rsid w:val="00AF7A7C"/>
    <w:rsid w:val="00B02070"/>
    <w:rsid w:val="00B258FE"/>
    <w:rsid w:val="00B26A8A"/>
    <w:rsid w:val="00B332D6"/>
    <w:rsid w:val="00B408B6"/>
    <w:rsid w:val="00B542DA"/>
    <w:rsid w:val="00B6484C"/>
    <w:rsid w:val="00B658AB"/>
    <w:rsid w:val="00B66B7D"/>
    <w:rsid w:val="00B73862"/>
    <w:rsid w:val="00B73F43"/>
    <w:rsid w:val="00B75934"/>
    <w:rsid w:val="00B75BBF"/>
    <w:rsid w:val="00B81CDC"/>
    <w:rsid w:val="00BA0C75"/>
    <w:rsid w:val="00BA308C"/>
    <w:rsid w:val="00BA6B66"/>
    <w:rsid w:val="00BA6E48"/>
    <w:rsid w:val="00BB49EA"/>
    <w:rsid w:val="00BD1174"/>
    <w:rsid w:val="00BE0AF6"/>
    <w:rsid w:val="00BE11BE"/>
    <w:rsid w:val="00BE1F03"/>
    <w:rsid w:val="00BE58A7"/>
    <w:rsid w:val="00BE7AF7"/>
    <w:rsid w:val="00BE7BC0"/>
    <w:rsid w:val="00BF2218"/>
    <w:rsid w:val="00C0426B"/>
    <w:rsid w:val="00C045DF"/>
    <w:rsid w:val="00C05FB2"/>
    <w:rsid w:val="00C132E3"/>
    <w:rsid w:val="00C26D43"/>
    <w:rsid w:val="00C35173"/>
    <w:rsid w:val="00C43F4A"/>
    <w:rsid w:val="00C46548"/>
    <w:rsid w:val="00C574D5"/>
    <w:rsid w:val="00C73F32"/>
    <w:rsid w:val="00C80195"/>
    <w:rsid w:val="00C851E4"/>
    <w:rsid w:val="00C87462"/>
    <w:rsid w:val="00CA180C"/>
    <w:rsid w:val="00CA2A9A"/>
    <w:rsid w:val="00CB22B2"/>
    <w:rsid w:val="00CB3D2B"/>
    <w:rsid w:val="00CC3EE2"/>
    <w:rsid w:val="00CD4F3D"/>
    <w:rsid w:val="00CD6C0E"/>
    <w:rsid w:val="00CD7492"/>
    <w:rsid w:val="00CE1E5A"/>
    <w:rsid w:val="00CE3A6B"/>
    <w:rsid w:val="00D00211"/>
    <w:rsid w:val="00D006D1"/>
    <w:rsid w:val="00D025AE"/>
    <w:rsid w:val="00D03109"/>
    <w:rsid w:val="00D05042"/>
    <w:rsid w:val="00D06309"/>
    <w:rsid w:val="00D349A5"/>
    <w:rsid w:val="00D351EA"/>
    <w:rsid w:val="00D35E20"/>
    <w:rsid w:val="00D40288"/>
    <w:rsid w:val="00D43223"/>
    <w:rsid w:val="00D43403"/>
    <w:rsid w:val="00D50A6B"/>
    <w:rsid w:val="00D5270B"/>
    <w:rsid w:val="00D62E71"/>
    <w:rsid w:val="00D6430D"/>
    <w:rsid w:val="00D66188"/>
    <w:rsid w:val="00D731F6"/>
    <w:rsid w:val="00D740CA"/>
    <w:rsid w:val="00D80B8F"/>
    <w:rsid w:val="00D816F8"/>
    <w:rsid w:val="00D85728"/>
    <w:rsid w:val="00D95481"/>
    <w:rsid w:val="00D96E40"/>
    <w:rsid w:val="00DC7A13"/>
    <w:rsid w:val="00DD0D3D"/>
    <w:rsid w:val="00DE7064"/>
    <w:rsid w:val="00DF2997"/>
    <w:rsid w:val="00E10BC4"/>
    <w:rsid w:val="00E1415D"/>
    <w:rsid w:val="00E213BD"/>
    <w:rsid w:val="00E233D3"/>
    <w:rsid w:val="00E2561C"/>
    <w:rsid w:val="00E323E9"/>
    <w:rsid w:val="00E32F58"/>
    <w:rsid w:val="00E32FB6"/>
    <w:rsid w:val="00E34018"/>
    <w:rsid w:val="00E40326"/>
    <w:rsid w:val="00E436D4"/>
    <w:rsid w:val="00E437D2"/>
    <w:rsid w:val="00E43BF9"/>
    <w:rsid w:val="00E47BC6"/>
    <w:rsid w:val="00E509F1"/>
    <w:rsid w:val="00E51930"/>
    <w:rsid w:val="00E54B70"/>
    <w:rsid w:val="00E55751"/>
    <w:rsid w:val="00E5652C"/>
    <w:rsid w:val="00E7398E"/>
    <w:rsid w:val="00E80097"/>
    <w:rsid w:val="00E82B94"/>
    <w:rsid w:val="00E87217"/>
    <w:rsid w:val="00EA2311"/>
    <w:rsid w:val="00EC0F07"/>
    <w:rsid w:val="00EC7B7C"/>
    <w:rsid w:val="00EC7BC3"/>
    <w:rsid w:val="00ED1CDC"/>
    <w:rsid w:val="00ED75D9"/>
    <w:rsid w:val="00ED7600"/>
    <w:rsid w:val="00EF3094"/>
    <w:rsid w:val="00EF6073"/>
    <w:rsid w:val="00EF698B"/>
    <w:rsid w:val="00F1362C"/>
    <w:rsid w:val="00F17011"/>
    <w:rsid w:val="00F269D7"/>
    <w:rsid w:val="00F3627A"/>
    <w:rsid w:val="00F414F1"/>
    <w:rsid w:val="00F508B8"/>
    <w:rsid w:val="00F63607"/>
    <w:rsid w:val="00F67736"/>
    <w:rsid w:val="00F72CB1"/>
    <w:rsid w:val="00F81933"/>
    <w:rsid w:val="00F8215E"/>
    <w:rsid w:val="00F824F5"/>
    <w:rsid w:val="00F90FAB"/>
    <w:rsid w:val="00F9374D"/>
    <w:rsid w:val="00FA1779"/>
    <w:rsid w:val="00FA439D"/>
    <w:rsid w:val="00FB6924"/>
    <w:rsid w:val="00FC29B9"/>
    <w:rsid w:val="00FC6FD3"/>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C5C0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0C75"/>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 ??,?????,リスト段落,Lista1,中等深浅网格 1 - 着色 21,????,列出段落1,¥¡¡¡¡ì¬º¥¹¥È¶ÎÂä,ÁÐ³ö¶ÎÂä,列表段落1,—ño’i—Ž,¥ê¥¹¥È¶ÎÂä,1st level - Bullet List Paragraph,Lettre d'introduction,Paragrafo elenco,Normal bullet 2,列出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목록 단락 Char,?? ?? Char,????? Char,リスト段落 Char,Lista1 Char,中等深浅网格 1 - 着色 21 Char,???? Char,列出段落1 Char,¥¡¡¡¡ì¬º¥¹¥È¶ÎÂä Char,ÁÐ³ö¶ÎÂä Char,列表段落1 Char,—ño’i—Ž Char,¥ê¥¹¥È¶ÎÂä Char,列出段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uiPriority w:val="5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Times" w:hAnsi="Times"/>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table" w:styleId="TableTheme">
    <w:name w:val="Table Theme"/>
    <w:basedOn w:val="TableNormal"/>
    <w:uiPriority w:val="99"/>
    <w:semiHidden/>
    <w:unhideWhenUsed/>
    <w:rsid w:val="000629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6484C"/>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CB3D2B"/>
    <w:rPr>
      <w:color w:val="2B579A"/>
      <w:shd w:val="clear" w:color="auto" w:fill="E1DFDD"/>
    </w:rPr>
  </w:style>
  <w:style w:type="paragraph" w:styleId="List">
    <w:name w:val="List"/>
    <w:basedOn w:val="Normal"/>
    <w:qFormat/>
    <w:rsid w:val="00CB3D2B"/>
    <w:pPr>
      <w:spacing w:after="180" w:line="276" w:lineRule="auto"/>
      <w:ind w:left="568" w:hanging="284"/>
    </w:pPr>
    <w:rPr>
      <w:rFonts w:eastAsia="SimSu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147216320">
      <w:bodyDiv w:val="1"/>
      <w:marLeft w:val="0"/>
      <w:marRight w:val="0"/>
      <w:marTop w:val="0"/>
      <w:marBottom w:val="0"/>
      <w:divBdr>
        <w:top w:val="none" w:sz="0" w:space="0" w:color="auto"/>
        <w:left w:val="none" w:sz="0" w:space="0" w:color="auto"/>
        <w:bottom w:val="none" w:sz="0" w:space="0" w:color="auto"/>
        <w:right w:val="none" w:sz="0" w:space="0" w:color="auto"/>
      </w:divBdr>
    </w:div>
    <w:div w:id="175653551">
      <w:bodyDiv w:val="1"/>
      <w:marLeft w:val="0"/>
      <w:marRight w:val="0"/>
      <w:marTop w:val="0"/>
      <w:marBottom w:val="0"/>
      <w:divBdr>
        <w:top w:val="none" w:sz="0" w:space="0" w:color="auto"/>
        <w:left w:val="none" w:sz="0" w:space="0" w:color="auto"/>
        <w:bottom w:val="none" w:sz="0" w:space="0" w:color="auto"/>
        <w:right w:val="none" w:sz="0" w:space="0" w:color="auto"/>
      </w:divBdr>
    </w:div>
    <w:div w:id="278270133">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409812461">
      <w:bodyDiv w:val="1"/>
      <w:marLeft w:val="0"/>
      <w:marRight w:val="0"/>
      <w:marTop w:val="0"/>
      <w:marBottom w:val="0"/>
      <w:divBdr>
        <w:top w:val="none" w:sz="0" w:space="0" w:color="auto"/>
        <w:left w:val="none" w:sz="0" w:space="0" w:color="auto"/>
        <w:bottom w:val="none" w:sz="0" w:space="0" w:color="auto"/>
        <w:right w:val="none" w:sz="0" w:space="0" w:color="auto"/>
      </w:divBdr>
    </w:div>
    <w:div w:id="440995721">
      <w:bodyDiv w:val="1"/>
      <w:marLeft w:val="0"/>
      <w:marRight w:val="0"/>
      <w:marTop w:val="0"/>
      <w:marBottom w:val="0"/>
      <w:divBdr>
        <w:top w:val="none" w:sz="0" w:space="0" w:color="auto"/>
        <w:left w:val="none" w:sz="0" w:space="0" w:color="auto"/>
        <w:bottom w:val="none" w:sz="0" w:space="0" w:color="auto"/>
        <w:right w:val="none" w:sz="0" w:space="0" w:color="auto"/>
      </w:divBdr>
    </w:div>
    <w:div w:id="489834134">
      <w:bodyDiv w:val="1"/>
      <w:marLeft w:val="0"/>
      <w:marRight w:val="0"/>
      <w:marTop w:val="0"/>
      <w:marBottom w:val="0"/>
      <w:divBdr>
        <w:top w:val="none" w:sz="0" w:space="0" w:color="auto"/>
        <w:left w:val="none" w:sz="0" w:space="0" w:color="auto"/>
        <w:bottom w:val="none" w:sz="0" w:space="0" w:color="auto"/>
        <w:right w:val="none" w:sz="0" w:space="0" w:color="auto"/>
      </w:divBdr>
    </w:div>
    <w:div w:id="490801702">
      <w:bodyDiv w:val="1"/>
      <w:marLeft w:val="0"/>
      <w:marRight w:val="0"/>
      <w:marTop w:val="0"/>
      <w:marBottom w:val="0"/>
      <w:divBdr>
        <w:top w:val="none" w:sz="0" w:space="0" w:color="auto"/>
        <w:left w:val="none" w:sz="0" w:space="0" w:color="auto"/>
        <w:bottom w:val="none" w:sz="0" w:space="0" w:color="auto"/>
        <w:right w:val="none" w:sz="0" w:space="0" w:color="auto"/>
      </w:divBdr>
    </w:div>
    <w:div w:id="528641825">
      <w:bodyDiv w:val="1"/>
      <w:marLeft w:val="0"/>
      <w:marRight w:val="0"/>
      <w:marTop w:val="0"/>
      <w:marBottom w:val="0"/>
      <w:divBdr>
        <w:top w:val="none" w:sz="0" w:space="0" w:color="auto"/>
        <w:left w:val="none" w:sz="0" w:space="0" w:color="auto"/>
        <w:bottom w:val="none" w:sz="0" w:space="0" w:color="auto"/>
        <w:right w:val="none" w:sz="0" w:space="0" w:color="auto"/>
      </w:divBdr>
    </w:div>
    <w:div w:id="668561405">
      <w:bodyDiv w:val="1"/>
      <w:marLeft w:val="0"/>
      <w:marRight w:val="0"/>
      <w:marTop w:val="0"/>
      <w:marBottom w:val="0"/>
      <w:divBdr>
        <w:top w:val="none" w:sz="0" w:space="0" w:color="auto"/>
        <w:left w:val="none" w:sz="0" w:space="0" w:color="auto"/>
        <w:bottom w:val="none" w:sz="0" w:space="0" w:color="auto"/>
        <w:right w:val="none" w:sz="0" w:space="0" w:color="auto"/>
      </w:divBdr>
    </w:div>
    <w:div w:id="802776456">
      <w:bodyDiv w:val="1"/>
      <w:marLeft w:val="0"/>
      <w:marRight w:val="0"/>
      <w:marTop w:val="0"/>
      <w:marBottom w:val="0"/>
      <w:divBdr>
        <w:top w:val="none" w:sz="0" w:space="0" w:color="auto"/>
        <w:left w:val="none" w:sz="0" w:space="0" w:color="auto"/>
        <w:bottom w:val="none" w:sz="0" w:space="0" w:color="auto"/>
        <w:right w:val="none" w:sz="0" w:space="0" w:color="auto"/>
      </w:divBdr>
    </w:div>
    <w:div w:id="925923456">
      <w:bodyDiv w:val="1"/>
      <w:marLeft w:val="0"/>
      <w:marRight w:val="0"/>
      <w:marTop w:val="0"/>
      <w:marBottom w:val="0"/>
      <w:divBdr>
        <w:top w:val="none" w:sz="0" w:space="0" w:color="auto"/>
        <w:left w:val="none" w:sz="0" w:space="0" w:color="auto"/>
        <w:bottom w:val="none" w:sz="0" w:space="0" w:color="auto"/>
        <w:right w:val="none" w:sz="0" w:space="0" w:color="auto"/>
      </w:divBdr>
    </w:div>
    <w:div w:id="1015613213">
      <w:bodyDiv w:val="1"/>
      <w:marLeft w:val="0"/>
      <w:marRight w:val="0"/>
      <w:marTop w:val="0"/>
      <w:marBottom w:val="0"/>
      <w:divBdr>
        <w:top w:val="none" w:sz="0" w:space="0" w:color="auto"/>
        <w:left w:val="none" w:sz="0" w:space="0" w:color="auto"/>
        <w:bottom w:val="none" w:sz="0" w:space="0" w:color="auto"/>
        <w:right w:val="none" w:sz="0" w:space="0" w:color="auto"/>
      </w:divBdr>
    </w:div>
    <w:div w:id="1057389225">
      <w:bodyDiv w:val="1"/>
      <w:marLeft w:val="0"/>
      <w:marRight w:val="0"/>
      <w:marTop w:val="0"/>
      <w:marBottom w:val="0"/>
      <w:divBdr>
        <w:top w:val="none" w:sz="0" w:space="0" w:color="auto"/>
        <w:left w:val="none" w:sz="0" w:space="0" w:color="auto"/>
        <w:bottom w:val="none" w:sz="0" w:space="0" w:color="auto"/>
        <w:right w:val="none" w:sz="0" w:space="0" w:color="auto"/>
      </w:divBdr>
    </w:div>
    <w:div w:id="1089160190">
      <w:bodyDiv w:val="1"/>
      <w:marLeft w:val="0"/>
      <w:marRight w:val="0"/>
      <w:marTop w:val="0"/>
      <w:marBottom w:val="0"/>
      <w:divBdr>
        <w:top w:val="none" w:sz="0" w:space="0" w:color="auto"/>
        <w:left w:val="none" w:sz="0" w:space="0" w:color="auto"/>
        <w:bottom w:val="none" w:sz="0" w:space="0" w:color="auto"/>
        <w:right w:val="none" w:sz="0" w:space="0" w:color="auto"/>
      </w:divBdr>
    </w:div>
    <w:div w:id="1549955069">
      <w:bodyDiv w:val="1"/>
      <w:marLeft w:val="0"/>
      <w:marRight w:val="0"/>
      <w:marTop w:val="0"/>
      <w:marBottom w:val="0"/>
      <w:divBdr>
        <w:top w:val="none" w:sz="0" w:space="0" w:color="auto"/>
        <w:left w:val="none" w:sz="0" w:space="0" w:color="auto"/>
        <w:bottom w:val="none" w:sz="0" w:space="0" w:color="auto"/>
        <w:right w:val="none" w:sz="0" w:space="0" w:color="auto"/>
      </w:divBdr>
    </w:div>
    <w:div w:id="1662461098">
      <w:bodyDiv w:val="1"/>
      <w:marLeft w:val="0"/>
      <w:marRight w:val="0"/>
      <w:marTop w:val="0"/>
      <w:marBottom w:val="0"/>
      <w:divBdr>
        <w:top w:val="none" w:sz="0" w:space="0" w:color="auto"/>
        <w:left w:val="none" w:sz="0" w:space="0" w:color="auto"/>
        <w:bottom w:val="none" w:sz="0" w:space="0" w:color="auto"/>
        <w:right w:val="none" w:sz="0" w:space="0" w:color="auto"/>
      </w:divBdr>
    </w:div>
    <w:div w:id="1865557151">
      <w:bodyDiv w:val="1"/>
      <w:marLeft w:val="0"/>
      <w:marRight w:val="0"/>
      <w:marTop w:val="0"/>
      <w:marBottom w:val="0"/>
      <w:divBdr>
        <w:top w:val="none" w:sz="0" w:space="0" w:color="auto"/>
        <w:left w:val="none" w:sz="0" w:space="0" w:color="auto"/>
        <w:bottom w:val="none" w:sz="0" w:space="0" w:color="auto"/>
        <w:right w:val="none" w:sz="0" w:space="0" w:color="auto"/>
      </w:divBdr>
    </w:div>
    <w:div w:id="1884782443">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 w:id="2026208919">
      <w:bodyDiv w:val="1"/>
      <w:marLeft w:val="0"/>
      <w:marRight w:val="0"/>
      <w:marTop w:val="0"/>
      <w:marBottom w:val="0"/>
      <w:divBdr>
        <w:top w:val="none" w:sz="0" w:space="0" w:color="auto"/>
        <w:left w:val="none" w:sz="0" w:space="0" w:color="auto"/>
        <w:bottom w:val="none" w:sz="0" w:space="0" w:color="auto"/>
        <w:right w:val="none" w:sz="0" w:space="0" w:color="auto"/>
      </w:divBdr>
    </w:div>
    <w:div w:id="2072078097">
      <w:bodyDiv w:val="1"/>
      <w:marLeft w:val="0"/>
      <w:marRight w:val="0"/>
      <w:marTop w:val="0"/>
      <w:marBottom w:val="0"/>
      <w:divBdr>
        <w:top w:val="none" w:sz="0" w:space="0" w:color="auto"/>
        <w:left w:val="none" w:sz="0" w:space="0" w:color="auto"/>
        <w:bottom w:val="none" w:sz="0" w:space="0" w:color="auto"/>
        <w:right w:val="none" w:sz="0" w:space="0" w:color="auto"/>
      </w:divBdr>
    </w:div>
    <w:div w:id="2074963675">
      <w:bodyDiv w:val="1"/>
      <w:marLeft w:val="0"/>
      <w:marRight w:val="0"/>
      <w:marTop w:val="0"/>
      <w:marBottom w:val="0"/>
      <w:divBdr>
        <w:top w:val="none" w:sz="0" w:space="0" w:color="auto"/>
        <w:left w:val="none" w:sz="0" w:space="0" w:color="auto"/>
        <w:bottom w:val="none" w:sz="0" w:space="0" w:color="auto"/>
        <w:right w:val="none" w:sz="0" w:space="0" w:color="auto"/>
      </w:divBdr>
    </w:div>
    <w:div w:id="2122450034">
      <w:bodyDiv w:val="1"/>
      <w:marLeft w:val="0"/>
      <w:marRight w:val="0"/>
      <w:marTop w:val="0"/>
      <w:marBottom w:val="0"/>
      <w:divBdr>
        <w:top w:val="none" w:sz="0" w:space="0" w:color="auto"/>
        <w:left w:val="none" w:sz="0" w:space="0" w:color="auto"/>
        <w:bottom w:val="none" w:sz="0" w:space="0" w:color="auto"/>
        <w:right w:val="none" w:sz="0" w:space="0" w:color="auto"/>
      </w:divBdr>
    </w:div>
    <w:div w:id="2142261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01.gif@01D82F03.9A54DD9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1304</Words>
  <Characters>7438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8725</CharactersWithSpaces>
  <SharedDoc>false</SharedDoc>
  <HLinks>
    <vt:vector size="30" baseType="variant">
      <vt:variant>
        <vt:i4>1245235</vt:i4>
      </vt:variant>
      <vt:variant>
        <vt:i4>17</vt:i4>
      </vt:variant>
      <vt:variant>
        <vt:i4>0</vt:i4>
      </vt:variant>
      <vt:variant>
        <vt:i4>5</vt:i4>
      </vt:variant>
      <vt:variant>
        <vt:lpwstr/>
      </vt:variant>
      <vt:variant>
        <vt:lpwstr>_Toc210391879</vt:lpwstr>
      </vt:variant>
      <vt:variant>
        <vt:i4>1245235</vt:i4>
      </vt:variant>
      <vt:variant>
        <vt:i4>14</vt:i4>
      </vt:variant>
      <vt:variant>
        <vt:i4>0</vt:i4>
      </vt:variant>
      <vt:variant>
        <vt:i4>5</vt:i4>
      </vt:variant>
      <vt:variant>
        <vt:lpwstr/>
      </vt:variant>
      <vt:variant>
        <vt:lpwstr>_Toc210391878</vt:lpwstr>
      </vt:variant>
      <vt:variant>
        <vt:i4>1245235</vt:i4>
      </vt:variant>
      <vt:variant>
        <vt:i4>11</vt:i4>
      </vt:variant>
      <vt:variant>
        <vt:i4>0</vt:i4>
      </vt:variant>
      <vt:variant>
        <vt:i4>5</vt:i4>
      </vt:variant>
      <vt:variant>
        <vt:lpwstr/>
      </vt:variant>
      <vt:variant>
        <vt:lpwstr>_Toc210391877</vt:lpwstr>
      </vt:variant>
      <vt:variant>
        <vt:i4>1245235</vt:i4>
      </vt:variant>
      <vt:variant>
        <vt:i4>8</vt:i4>
      </vt:variant>
      <vt:variant>
        <vt:i4>0</vt:i4>
      </vt:variant>
      <vt:variant>
        <vt:i4>5</vt:i4>
      </vt:variant>
      <vt:variant>
        <vt:lpwstr/>
      </vt:variant>
      <vt:variant>
        <vt:lpwstr>_Toc210391876</vt:lpwstr>
      </vt:variant>
      <vt:variant>
        <vt:i4>1245235</vt:i4>
      </vt:variant>
      <vt:variant>
        <vt:i4>5</vt:i4>
      </vt:variant>
      <vt:variant>
        <vt:i4>0</vt:i4>
      </vt:variant>
      <vt:variant>
        <vt:i4>5</vt:i4>
      </vt:variant>
      <vt:variant>
        <vt:lpwstr/>
      </vt:variant>
      <vt:variant>
        <vt:lpwstr>_Toc210391875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2025-10-03T17:27:00Z</dcterms:created>
  <dcterms:modified xsi:type="dcterms:W3CDTF">2025-10-03T17:29:00Z</dcterms:modified>
</cp:coreProperties>
</file>